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53C10">
      <w:pPr>
        <w:pStyle w:val="126"/>
        <w:framePr w:h="1801" w:hRule="exact" w:wrap="around"/>
      </w:pPr>
      <w:bookmarkStart w:id="0" w:name="_Hlk122552383"/>
      <w:bookmarkEnd w:id="0"/>
      <w:bookmarkStart w:id="1" w:name="c1"/>
      <w:r>
        <w:rPr>
          <w:rFonts w:ascii="Times New Roman"/>
        </w:rPr>
        <w:t>ICS</w:t>
      </w:r>
      <w:r>
        <w:rPr>
          <w:rFonts w:hAnsi="黑体"/>
        </w:rPr>
        <w:t> </w:t>
      </w:r>
      <w:r>
        <w:t>03.120.20</w:t>
      </w:r>
    </w:p>
    <w:p w14:paraId="4FC74A1B">
      <w:pPr>
        <w:pStyle w:val="126"/>
        <w:framePr w:h="1801" w:hRule="exact" w:wrap="around"/>
      </w:pPr>
      <w:r>
        <w:rPr>
          <w:rFonts w:ascii="Times New Roman"/>
        </w:rPr>
        <w:t>CCS P 80</w:t>
      </w:r>
    </w:p>
    <w:p w14:paraId="1A33340E">
      <w:pPr>
        <w:pStyle w:val="126"/>
        <w:framePr w:h="1801" w:hRule="exact" w:wrap="around"/>
        <w:jc w:val="right"/>
        <w:rPr>
          <w:rFonts w:ascii="Times New Roman"/>
          <w:b/>
          <w:bCs/>
          <w:w w:val="130"/>
          <w:sz w:val="96"/>
          <w:szCs w:val="96"/>
        </w:rPr>
      </w:pPr>
      <w:r>
        <w:rPr>
          <w:rFonts w:ascii="Times New Roman"/>
          <w:b/>
          <w:bCs/>
          <w:w w:val="130"/>
          <w:sz w:val="96"/>
          <w:szCs w:val="96"/>
        </w:rPr>
        <w:t>T/CNS</w:t>
      </w:r>
    </w:p>
    <w:p w14:paraId="4AFEA43F">
      <w:pPr>
        <w:pStyle w:val="126"/>
        <w:framePr w:h="1801" w:hRule="exact" w:wrap="around"/>
      </w:pPr>
    </w:p>
    <w:bookmarkEnd w:id="1"/>
    <w:p w14:paraId="5DDB6137">
      <w:pPr>
        <w:pStyle w:val="113"/>
        <w:framePr w:wrap="around"/>
        <w:rPr>
          <w:sz w:val="52"/>
        </w:rPr>
      </w:pPr>
      <w:r>
        <w:rPr>
          <w:rFonts w:hint="eastAsia"/>
          <w:sz w:val="52"/>
        </w:rPr>
        <w:t>中国核学会团体标准</w:t>
      </w:r>
    </w:p>
    <w:p w14:paraId="55117A00">
      <w:pPr>
        <w:pStyle w:val="50"/>
        <w:framePr w:h="1126" w:hRule="exact" w:wrap="around" w:y="3016"/>
        <w:rPr>
          <w:rFonts w:hAnsi="黑体"/>
        </w:rPr>
      </w:pPr>
      <w:r>
        <w:rPr>
          <w:rFonts w:hint="eastAsia" w:ascii="Times New Roman"/>
        </w:rPr>
        <w:t>T</w:t>
      </w:r>
      <w:r>
        <w:rPr>
          <w:rFonts w:ascii="Times New Roman"/>
        </w:rPr>
        <w:t>/</w:t>
      </w:r>
      <w:r>
        <w:rPr>
          <w:rFonts w:hint="eastAsia" w:ascii="Times New Roman"/>
        </w:rPr>
        <w:t>CNS</w:t>
      </w:r>
      <w:r>
        <w:rPr>
          <w:rFonts w:ascii="Times New Roman"/>
        </w:rPr>
        <w:t xml:space="preserve"> </w:t>
      </w:r>
      <w:r>
        <w:rPr>
          <w:rFonts w:hint="eastAsia" w:ascii="Times New Roman"/>
        </w:rPr>
        <w:t>XXXX</w:t>
      </w:r>
      <w:r>
        <w:rPr>
          <w:rFonts w:hAnsi="黑体"/>
        </w:rPr>
        <w:t>—XXXX</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0D957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shd w:val="clear" w:color="auto" w:fill="auto"/>
          </w:tcPr>
          <w:p w14:paraId="6A1A6240">
            <w:pPr>
              <w:pStyle w:val="79"/>
              <w:framePr w:h="1126" w:hRule="exact" w:wrap="around" w:y="3016"/>
            </w:pPr>
            <w:bookmarkStart w:id="2"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AmFjv77wEAAPADAAAOAAAAAAAAAAEAIAAAACUBAABkcnMvZTJvRG9jLnhtbFBLBQYAAAAA&#10;BgAGAFkBAACGBQ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2"/>
          </w:p>
        </w:tc>
      </w:tr>
    </w:tbl>
    <w:p w14:paraId="13D28547">
      <w:pPr>
        <w:pStyle w:val="50"/>
        <w:framePr w:h="1126" w:hRule="exact" w:wrap="around" w:y="3016"/>
        <w:rPr>
          <w:rFonts w:hAnsi="黑体"/>
        </w:rPr>
      </w:pPr>
    </w:p>
    <w:p w14:paraId="42FF2919">
      <w:pPr>
        <w:pStyle w:val="50"/>
        <w:framePr w:h="1126" w:hRule="exact" w:wrap="around" w:y="3016"/>
        <w:rPr>
          <w:rFonts w:hAnsi="黑体"/>
        </w:rPr>
      </w:pPr>
    </w:p>
    <w:p w14:paraId="455EFD2E">
      <w:pPr>
        <w:pStyle w:val="81"/>
        <w:framePr w:w="10417" w:wrap="around" w:x="787" w:y="6082"/>
      </w:pPr>
      <w:r>
        <w:rPr>
          <w:rFonts w:hint="eastAsia"/>
        </w:rPr>
        <w:t>高温气冷堆核动力厂核级高温设备焊接规范</w:t>
      </w:r>
    </w:p>
    <w:p w14:paraId="4C6F38EB">
      <w:pPr>
        <w:pStyle w:val="81"/>
        <w:framePr w:w="10417" w:wrap="around" w:x="787" w:y="6082"/>
      </w:pPr>
      <w:r>
        <w:rPr>
          <w:rFonts w:hint="eastAsia"/>
        </w:rPr>
        <w:t>第1部分 通用要求</w:t>
      </w:r>
    </w:p>
    <w:p w14:paraId="1FA706AB">
      <w:pPr>
        <w:pStyle w:val="82"/>
        <w:framePr w:w="10417" w:wrap="around" w:x="787" w:y="6082"/>
        <w:rPr>
          <w:b/>
          <w:bCs/>
        </w:rPr>
      </w:pPr>
      <w:r>
        <w:rPr>
          <w:b/>
          <w:bCs/>
        </w:rPr>
        <w:t>Welding code for high temperature</w:t>
      </w:r>
      <w:r>
        <w:rPr>
          <w:rFonts w:hint="eastAsia"/>
          <w:b/>
          <w:bCs/>
        </w:rPr>
        <w:t xml:space="preserve"> </w:t>
      </w:r>
      <w:r>
        <w:rPr>
          <w:b/>
          <w:bCs/>
        </w:rPr>
        <w:t>mechanical of high temperature gas</w:t>
      </w:r>
      <w:r>
        <w:rPr>
          <w:rFonts w:hint="eastAsia"/>
          <w:b/>
          <w:bCs/>
        </w:rPr>
        <w:t xml:space="preserve"> </w:t>
      </w:r>
      <w:r>
        <w:rPr>
          <w:b/>
          <w:bCs/>
        </w:rPr>
        <w:t>cooled reactor nuclear power plant</w:t>
      </w:r>
      <w:r>
        <w:rPr>
          <w:rFonts w:hint="eastAsia"/>
          <w:b/>
          <w:bCs/>
        </w:rPr>
        <w:t>-</w:t>
      </w:r>
      <w:r>
        <w:rPr>
          <w:b/>
          <w:bCs/>
        </w:rPr>
        <w:t xml:space="preserve"> Part 1 General requirements</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612A1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65D6C6C0">
            <w:pPr>
              <w:pStyle w:val="84"/>
              <w:framePr w:w="10417" w:wrap="around" w:x="787" w:y="6082"/>
            </w:pPr>
            <w:r>
              <w:rPr>
                <w:rFonts w:hint="eastAsia"/>
              </w:rPr>
              <w:t>征求意见稿</w:t>
            </w: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4" name="RQ"/>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YmuktUAAAAKAQAADwAAAAAAAAABACAAAAAiAAAAZHJzL2Rvd25yZXYueG1sUEsBAhQAFAAAAAgA&#10;h07iQKHcPxTvAQAA8AMAAA4AAAAAAAAAAQAgAAAAJAEAAGRycy9lMm9Eb2MueG1sUEsFBgAAAAAG&#10;AAYAWQEAAIUFA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3" name="LB"/>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Phi+XWAAAACQEAAA8AAAAAAAAAAQAgAAAAIgAAAGRycy9kb3ducmV2LnhtbFBLAQIUABQAAAAI&#10;AIdO4kAUtNKs7wEAAPADAAAOAAAAAAAAAAEAIAAAACUBAABkcnMvZTJvRG9jLnhtbFBLBQYAAAAA&#10;BgAGAFkBAACGBQAAAAA=&#10;">
                      <v:fill on="t" focussize="0,0"/>
                      <v:stroke on="f"/>
                      <v:imagedata o:title=""/>
                      <o:lock v:ext="edit" aspectratio="f"/>
                    </v:rect>
                  </w:pict>
                </mc:Fallback>
              </mc:AlternateContent>
            </w:r>
          </w:p>
        </w:tc>
      </w:tr>
      <w:tr w14:paraId="076CA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6FDE1DE0">
            <w:pPr>
              <w:pStyle w:val="85"/>
              <w:framePr w:w="10417" w:wrap="around" w:x="787" w:y="6082"/>
            </w:pPr>
          </w:p>
        </w:tc>
      </w:tr>
    </w:tbl>
    <w:p w14:paraId="6829F880">
      <w:pPr>
        <w:pStyle w:val="134"/>
        <w:framePr w:wrap="around" w:hAnchor="page" w:x="1585" w:y="14137"/>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1270" b="0"/>
                <wp:wrapNone/>
                <wp:docPr id="2" name="Line 10"/>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WHazzWAAAA&#10;CwEAAA8AAAAAAAAAAQAgAAAAIgAAAGRycy9kb3ducmV2LnhtbFBLAQIUABQAAAAIAIdO4kDcfFU7&#10;rQEAAG4DAAAOAAAAAAAAAAEAIAAAACUBAABkcnMvZTJvRG9jLnhtbFBLBQYAAAAABgAGAFkBAABE&#10;BQAAAAA=&#10;">
                <v:fill on="f" focussize="0,0"/>
                <v:stroke color="#000000" joinstyle="round"/>
                <v:imagedata o:title=""/>
                <o:lock v:ext="edit" aspectratio="f"/>
                <w10:anchorlock/>
              </v:line>
            </w:pict>
          </mc:Fallback>
        </mc:AlternateContent>
      </w:r>
    </w:p>
    <w:p w14:paraId="69140D73">
      <w:pPr>
        <w:pStyle w:val="135"/>
        <w:framePr w:wrap="around" w:hAnchor="page" w:x="6613"/>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 xml:space="preserve">XX </w:t>
      </w:r>
      <w:r>
        <w:rPr>
          <w:rFonts w:hint="eastAsia"/>
        </w:rPr>
        <w:t>实施</w:t>
      </w:r>
    </w:p>
    <w:p w14:paraId="0CD532C6">
      <w:pPr>
        <w:pStyle w:val="114"/>
        <w:framePr w:wrap="around"/>
      </w:pPr>
      <w:r>
        <w:rPr>
          <w:rFonts w:hint="eastAsia"/>
        </w:rPr>
        <w:t>中国核学会</w:t>
      </w:r>
      <w:r>
        <w:rPr>
          <w:rFonts w:hint="eastAsia" w:ascii="MS Mincho" w:hAnsi="MS Mincho" w:eastAsia="MS Mincho" w:cs="MS Mincho"/>
        </w:rPr>
        <w:t>   </w:t>
      </w:r>
      <w:r>
        <w:rPr>
          <w:rStyle w:val="76"/>
          <w:rFonts w:hint="eastAsia"/>
        </w:rPr>
        <w:t>发布</w:t>
      </w:r>
    </w:p>
    <w:p w14:paraId="55E549EA">
      <w:pPr>
        <w:pStyle w:val="27"/>
        <w:sectPr>
          <w:headerReference r:id="rId3" w:type="even"/>
          <w:footerReference r:id="rId4"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1270" b="0"/>
                <wp:wrapNone/>
                <wp:docPr id="1" name="Line 11"/>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CQeJf1wAA&#10;AAkBAAAPAAAAAAAAAAEAIAAAACIAAABkcnMvZG93bnJldi54bWxQSwECFAAUAAAACACHTuJANW0K&#10;n60BAABuAwAADgAAAAAAAAABACAAAAAmAQAAZHJzL2Uyb0RvYy54bWxQSwUGAAAAAAYABgBZAQAA&#10;RQUAAAAA&#10;">
                <v:fill on="f" focussize="0,0"/>
                <v:stroke color="#000000" joinstyle="round"/>
                <v:imagedata o:title=""/>
                <o:lock v:ext="edit" aspectratio="f"/>
              </v:line>
            </w:pict>
          </mc:Fallback>
        </mc:AlternateContent>
      </w:r>
    </w:p>
    <w:p w14:paraId="311115B3">
      <w:pPr>
        <w:pStyle w:val="53"/>
        <w:rPr>
          <w:rFonts w:hAnsi="黑体"/>
        </w:rPr>
      </w:pPr>
      <w:bookmarkStart w:id="3" w:name="_Toc48658960"/>
      <w:bookmarkStart w:id="4" w:name="_Toc234486083"/>
      <w:r>
        <w:rPr>
          <w:rFonts w:hint="eastAsia" w:hAnsi="黑体"/>
        </w:rPr>
        <w:t>目</w:t>
      </w:r>
      <w:bookmarkStart w:id="5" w:name="BKML"/>
      <w:r>
        <w:rPr>
          <w:rFonts w:hAnsi="黑体" w:cs="MS Mincho"/>
        </w:rPr>
        <w:t>  </w:t>
      </w:r>
      <w:r>
        <w:rPr>
          <w:rFonts w:hint="eastAsia" w:hAnsi="黑体"/>
        </w:rPr>
        <w:t>次</w:t>
      </w:r>
      <w:bookmarkEnd w:id="3"/>
      <w:bookmarkEnd w:id="4"/>
      <w:bookmarkEnd w:id="5"/>
    </w:p>
    <w:sdt>
      <w:sdtPr>
        <w:rPr>
          <w:lang w:val="zh-CN"/>
        </w:rPr>
        <w:id w:val="-283963139"/>
        <w:docPartObj>
          <w:docPartGallery w:val="Table of Contents"/>
          <w:docPartUnique/>
        </w:docPartObj>
      </w:sdtPr>
      <w:sdtEndPr>
        <w:rPr>
          <w:b/>
          <w:bCs/>
          <w:lang w:val="zh-CN"/>
        </w:rPr>
      </w:sdtEndPr>
      <w:sdtContent>
        <w:p w14:paraId="1023D8FF">
          <w:pPr>
            <w:pStyle w:val="23"/>
            <w:spacing w:before="78" w:after="78"/>
            <w:rPr>
              <w:rFonts w:asciiTheme="minorHAnsi" w:hAnsiTheme="minorHAnsi" w:eastAsiaTheme="minorEastAsia" w:cstheme="minorBidi"/>
              <w:szCs w:val="22"/>
            </w:rPr>
          </w:pPr>
          <w:r>
            <w:rPr>
              <w:rFonts w:asciiTheme="majorHAnsi" w:hAnsiTheme="majorHAnsi" w:eastAsiaTheme="majorEastAsia" w:cstheme="majorBidi"/>
              <w:color w:val="2F5597" w:themeColor="accent1" w:themeShade="BF"/>
              <w:kern w:val="0"/>
              <w:sz w:val="32"/>
              <w:szCs w:val="32"/>
            </w:rPr>
            <w:fldChar w:fldCharType="begin"/>
          </w:r>
          <w:r>
            <w:instrText xml:space="preserve"> TOC \o "1-3" \h \z \u </w:instrText>
          </w:r>
          <w:r>
            <w:rPr>
              <w:rFonts w:asciiTheme="majorHAnsi" w:hAnsiTheme="majorHAnsi" w:eastAsiaTheme="majorEastAsia" w:cstheme="majorBidi"/>
              <w:color w:val="2F5597" w:themeColor="accent1" w:themeShade="BF"/>
              <w:kern w:val="0"/>
              <w:sz w:val="32"/>
              <w:szCs w:val="32"/>
            </w:rPr>
            <w:fldChar w:fldCharType="separate"/>
          </w:r>
          <w:r>
            <w:fldChar w:fldCharType="begin"/>
          </w:r>
          <w:r>
            <w:instrText xml:space="preserve"> HYPERLINK \l "_Toc234486083" </w:instrText>
          </w:r>
          <w:r>
            <w:fldChar w:fldCharType="separate"/>
          </w:r>
          <w:r>
            <w:rPr>
              <w:rStyle w:val="41"/>
              <w:rFonts w:hAnsi="黑体"/>
            </w:rPr>
            <w:t>目</w:t>
          </w:r>
          <w:r>
            <w:rPr>
              <w:rStyle w:val="41"/>
              <w:rFonts w:hAnsi="黑体" w:cs="MS Mincho"/>
            </w:rPr>
            <w:t>  </w:t>
          </w:r>
          <w:r>
            <w:rPr>
              <w:rStyle w:val="41"/>
              <w:rFonts w:hAnsi="黑体"/>
            </w:rPr>
            <w:t>次</w:t>
          </w:r>
          <w:r>
            <w:tab/>
          </w:r>
          <w:r>
            <w:fldChar w:fldCharType="begin"/>
          </w:r>
          <w:r>
            <w:instrText xml:space="preserve"> PAGEREF _Toc234486083 \h </w:instrText>
          </w:r>
          <w:r>
            <w:fldChar w:fldCharType="separate"/>
          </w:r>
          <w:r>
            <w:t>I</w:t>
          </w:r>
          <w:r>
            <w:fldChar w:fldCharType="end"/>
          </w:r>
          <w:r>
            <w:fldChar w:fldCharType="end"/>
          </w:r>
        </w:p>
        <w:p w14:paraId="457C0196">
          <w:pPr>
            <w:pStyle w:val="23"/>
            <w:spacing w:before="78" w:after="78"/>
            <w:rPr>
              <w:rFonts w:asciiTheme="minorHAnsi" w:hAnsiTheme="minorHAnsi" w:eastAsiaTheme="minorEastAsia" w:cstheme="minorBidi"/>
              <w:szCs w:val="22"/>
            </w:rPr>
          </w:pPr>
          <w:r>
            <w:fldChar w:fldCharType="begin"/>
          </w:r>
          <w:r>
            <w:instrText xml:space="preserve"> HYPERLINK \l "_Toc234486084" </w:instrText>
          </w:r>
          <w:r>
            <w:fldChar w:fldCharType="separate"/>
          </w:r>
          <w:r>
            <w:rPr>
              <w:rStyle w:val="41"/>
            </w:rPr>
            <w:t>前</w:t>
          </w:r>
          <w:r>
            <w:rPr>
              <w:rStyle w:val="41"/>
              <w:rFonts w:ascii="MS Mincho" w:hAnsi="MS Mincho" w:eastAsia="MS Mincho" w:cs="MS Mincho"/>
            </w:rPr>
            <w:t>  </w:t>
          </w:r>
          <w:r>
            <w:rPr>
              <w:rStyle w:val="41"/>
            </w:rPr>
            <w:t>言</w:t>
          </w:r>
          <w:r>
            <w:tab/>
          </w:r>
          <w:r>
            <w:fldChar w:fldCharType="begin"/>
          </w:r>
          <w:r>
            <w:instrText xml:space="preserve"> PAGEREF _Toc234486084 \h </w:instrText>
          </w:r>
          <w:r>
            <w:fldChar w:fldCharType="separate"/>
          </w:r>
          <w:r>
            <w:t>III</w:t>
          </w:r>
          <w:r>
            <w:fldChar w:fldCharType="end"/>
          </w:r>
          <w:r>
            <w:fldChar w:fldCharType="end"/>
          </w:r>
        </w:p>
        <w:p w14:paraId="3ECAA0DE">
          <w:pPr>
            <w:pStyle w:val="23"/>
            <w:spacing w:before="78" w:after="78"/>
            <w:rPr>
              <w:rFonts w:asciiTheme="minorHAnsi" w:hAnsiTheme="minorHAnsi" w:eastAsiaTheme="minorEastAsia" w:cstheme="minorBidi"/>
              <w:szCs w:val="22"/>
            </w:rPr>
          </w:pPr>
          <w:r>
            <w:fldChar w:fldCharType="begin"/>
          </w:r>
          <w:r>
            <w:instrText xml:space="preserve"> HYPERLINK \l "_Toc234486085" </w:instrText>
          </w:r>
          <w:r>
            <w:fldChar w:fldCharType="separate"/>
          </w:r>
          <w:r>
            <w:rPr>
              <w:rStyle w:val="41"/>
              <w:rFonts w:cs="MS Mincho" w:asciiTheme="minorEastAsia" w:hAnsiTheme="minorEastAsia"/>
            </w:rPr>
            <w:t>引</w:t>
          </w:r>
          <w:r>
            <w:rPr>
              <w:rStyle w:val="41"/>
              <w:rFonts w:ascii="MS Mincho" w:hAnsi="MS Mincho" w:eastAsia="MS Mincho" w:cs="MS Mincho"/>
            </w:rPr>
            <w:t>  </w:t>
          </w:r>
          <w:r>
            <w:rPr>
              <w:rStyle w:val="41"/>
            </w:rPr>
            <w:t>言</w:t>
          </w:r>
          <w:r>
            <w:tab/>
          </w:r>
          <w:r>
            <w:fldChar w:fldCharType="begin"/>
          </w:r>
          <w:r>
            <w:instrText xml:space="preserve"> PAGEREF _Toc234486085 \h </w:instrText>
          </w:r>
          <w:r>
            <w:fldChar w:fldCharType="separate"/>
          </w:r>
          <w:r>
            <w:t>IV</w:t>
          </w:r>
          <w:r>
            <w:fldChar w:fldCharType="end"/>
          </w:r>
          <w:r>
            <w:fldChar w:fldCharType="end"/>
          </w:r>
        </w:p>
        <w:p w14:paraId="7293E9AE">
          <w:pPr>
            <w:pStyle w:val="32"/>
            <w:rPr>
              <w:rFonts w:asciiTheme="minorHAnsi" w:hAnsiTheme="minorHAnsi" w:eastAsiaTheme="minorEastAsia" w:cstheme="minorBidi"/>
              <w:szCs w:val="22"/>
            </w:rPr>
          </w:pPr>
          <w:r>
            <w:fldChar w:fldCharType="begin"/>
          </w:r>
          <w:r>
            <w:instrText xml:space="preserve"> HYPERLINK \l "_Toc234486086" </w:instrText>
          </w:r>
          <w:r>
            <w:fldChar w:fldCharType="separate"/>
          </w:r>
          <w:r>
            <w:rPr>
              <w:rStyle w:val="41"/>
            </w:rPr>
            <w:t>1 范围</w:t>
          </w:r>
          <w:r>
            <w:tab/>
          </w:r>
          <w:r>
            <w:fldChar w:fldCharType="begin"/>
          </w:r>
          <w:r>
            <w:instrText xml:space="preserve"> PAGEREF _Toc234486086 \h </w:instrText>
          </w:r>
          <w:r>
            <w:fldChar w:fldCharType="separate"/>
          </w:r>
          <w:r>
            <w:t>1</w:t>
          </w:r>
          <w:r>
            <w:fldChar w:fldCharType="end"/>
          </w:r>
          <w:r>
            <w:fldChar w:fldCharType="end"/>
          </w:r>
        </w:p>
        <w:p w14:paraId="1A7CCDE3">
          <w:pPr>
            <w:pStyle w:val="32"/>
            <w:rPr>
              <w:rFonts w:asciiTheme="minorHAnsi" w:hAnsiTheme="minorHAnsi" w:eastAsiaTheme="minorEastAsia" w:cstheme="minorBidi"/>
              <w:szCs w:val="22"/>
            </w:rPr>
          </w:pPr>
          <w:r>
            <w:fldChar w:fldCharType="begin"/>
          </w:r>
          <w:r>
            <w:instrText xml:space="preserve"> HYPERLINK \l "_Toc234486087" </w:instrText>
          </w:r>
          <w:r>
            <w:fldChar w:fldCharType="separate"/>
          </w:r>
          <w:r>
            <w:rPr>
              <w:rStyle w:val="41"/>
            </w:rPr>
            <w:t>2 规范性引用文件</w:t>
          </w:r>
          <w:r>
            <w:tab/>
          </w:r>
          <w:r>
            <w:fldChar w:fldCharType="begin"/>
          </w:r>
          <w:r>
            <w:instrText xml:space="preserve"> PAGEREF _Toc234486087 \h </w:instrText>
          </w:r>
          <w:r>
            <w:fldChar w:fldCharType="separate"/>
          </w:r>
          <w:r>
            <w:t>1</w:t>
          </w:r>
          <w:r>
            <w:fldChar w:fldCharType="end"/>
          </w:r>
          <w:r>
            <w:fldChar w:fldCharType="end"/>
          </w:r>
        </w:p>
        <w:p w14:paraId="12CF4303">
          <w:pPr>
            <w:pStyle w:val="32"/>
            <w:rPr>
              <w:rFonts w:asciiTheme="minorHAnsi" w:hAnsiTheme="minorHAnsi" w:eastAsiaTheme="minorEastAsia" w:cstheme="minorBidi"/>
              <w:szCs w:val="22"/>
            </w:rPr>
          </w:pPr>
          <w:r>
            <w:fldChar w:fldCharType="begin"/>
          </w:r>
          <w:r>
            <w:instrText xml:space="preserve"> HYPERLINK \l "_Toc234486088" </w:instrText>
          </w:r>
          <w:r>
            <w:fldChar w:fldCharType="separate"/>
          </w:r>
          <w:r>
            <w:rPr>
              <w:rStyle w:val="41"/>
            </w:rPr>
            <w:t>3 术语和定义</w:t>
          </w:r>
          <w:r>
            <w:tab/>
          </w:r>
          <w:r>
            <w:fldChar w:fldCharType="begin"/>
          </w:r>
          <w:r>
            <w:instrText xml:space="preserve"> PAGEREF _Toc234486088 \h </w:instrText>
          </w:r>
          <w:r>
            <w:fldChar w:fldCharType="separate"/>
          </w:r>
          <w:r>
            <w:t>1</w:t>
          </w:r>
          <w:r>
            <w:fldChar w:fldCharType="end"/>
          </w:r>
          <w:r>
            <w:fldChar w:fldCharType="end"/>
          </w:r>
        </w:p>
        <w:p w14:paraId="57B22042">
          <w:pPr>
            <w:pStyle w:val="16"/>
            <w:ind w:firstLine="210"/>
            <w:rPr>
              <w:rStyle w:val="41"/>
            </w:rPr>
          </w:pPr>
          <w:r>
            <w:fldChar w:fldCharType="begin"/>
          </w:r>
          <w:r>
            <w:instrText xml:space="preserve"> HYPERLINK \l "_Toc234486089" </w:instrText>
          </w:r>
          <w:r>
            <w:fldChar w:fldCharType="separate"/>
          </w:r>
          <w:r>
            <w:rPr>
              <w:rStyle w:val="41"/>
            </w:rPr>
            <w:t>3.1 焊接工艺评定 welding procedure qualification</w:t>
          </w:r>
          <w:r>
            <w:rPr>
              <w:rStyle w:val="41"/>
            </w:rPr>
            <w:tab/>
          </w:r>
          <w:r>
            <w:rPr>
              <w:rStyle w:val="41"/>
            </w:rPr>
            <w:fldChar w:fldCharType="begin"/>
          </w:r>
          <w:r>
            <w:rPr>
              <w:rStyle w:val="41"/>
            </w:rPr>
            <w:instrText xml:space="preserve"> PAGEREF _Toc234486089 \h </w:instrText>
          </w:r>
          <w:r>
            <w:rPr>
              <w:rStyle w:val="41"/>
            </w:rPr>
            <w:fldChar w:fldCharType="separate"/>
          </w:r>
          <w:r>
            <w:rPr>
              <w:rStyle w:val="41"/>
            </w:rPr>
            <w:t>1</w:t>
          </w:r>
          <w:r>
            <w:rPr>
              <w:rStyle w:val="41"/>
            </w:rPr>
            <w:fldChar w:fldCharType="end"/>
          </w:r>
          <w:r>
            <w:rPr>
              <w:rStyle w:val="41"/>
            </w:rPr>
            <w:fldChar w:fldCharType="end"/>
          </w:r>
        </w:p>
        <w:p w14:paraId="45EA0BE6">
          <w:pPr>
            <w:pStyle w:val="16"/>
            <w:ind w:firstLine="210"/>
            <w:rPr>
              <w:rStyle w:val="41"/>
            </w:rPr>
          </w:pPr>
          <w:r>
            <w:fldChar w:fldCharType="begin"/>
          </w:r>
          <w:r>
            <w:instrText xml:space="preserve"> HYPERLINK \l "_Toc234486090" </w:instrText>
          </w:r>
          <w:r>
            <w:fldChar w:fldCharType="separate"/>
          </w:r>
          <w:r>
            <w:rPr>
              <w:rStyle w:val="41"/>
            </w:rPr>
            <w:t>3.2 预焊接工艺规程（pWPS） preliminary welding procedure specification</w:t>
          </w:r>
          <w:r>
            <w:rPr>
              <w:rStyle w:val="41"/>
            </w:rPr>
            <w:tab/>
          </w:r>
          <w:r>
            <w:rPr>
              <w:rStyle w:val="41"/>
            </w:rPr>
            <w:fldChar w:fldCharType="begin"/>
          </w:r>
          <w:r>
            <w:rPr>
              <w:rStyle w:val="41"/>
            </w:rPr>
            <w:instrText xml:space="preserve"> PAGEREF _Toc234486090 \h </w:instrText>
          </w:r>
          <w:r>
            <w:rPr>
              <w:rStyle w:val="41"/>
            </w:rPr>
            <w:fldChar w:fldCharType="separate"/>
          </w:r>
          <w:r>
            <w:rPr>
              <w:rStyle w:val="41"/>
            </w:rPr>
            <w:t>1</w:t>
          </w:r>
          <w:r>
            <w:rPr>
              <w:rStyle w:val="41"/>
            </w:rPr>
            <w:fldChar w:fldCharType="end"/>
          </w:r>
          <w:r>
            <w:rPr>
              <w:rStyle w:val="41"/>
            </w:rPr>
            <w:fldChar w:fldCharType="end"/>
          </w:r>
        </w:p>
        <w:p w14:paraId="0799784A">
          <w:pPr>
            <w:pStyle w:val="16"/>
            <w:ind w:firstLine="210"/>
            <w:rPr>
              <w:rStyle w:val="41"/>
            </w:rPr>
          </w:pPr>
          <w:r>
            <w:fldChar w:fldCharType="begin"/>
          </w:r>
          <w:r>
            <w:instrText xml:space="preserve"> HYPERLINK \l "_Toc234486091" </w:instrText>
          </w:r>
          <w:r>
            <w:fldChar w:fldCharType="separate"/>
          </w:r>
          <w:r>
            <w:rPr>
              <w:rStyle w:val="41"/>
            </w:rPr>
            <w:t>3.3 焊接工艺评定报告（PQR）procedure qualification record</w:t>
          </w:r>
          <w:r>
            <w:rPr>
              <w:rStyle w:val="41"/>
            </w:rPr>
            <w:tab/>
          </w:r>
          <w:r>
            <w:rPr>
              <w:rStyle w:val="41"/>
            </w:rPr>
            <w:fldChar w:fldCharType="begin"/>
          </w:r>
          <w:r>
            <w:rPr>
              <w:rStyle w:val="41"/>
            </w:rPr>
            <w:instrText xml:space="preserve"> PAGEREF _Toc234486091 \h </w:instrText>
          </w:r>
          <w:r>
            <w:rPr>
              <w:rStyle w:val="41"/>
            </w:rPr>
            <w:fldChar w:fldCharType="separate"/>
          </w:r>
          <w:r>
            <w:rPr>
              <w:rStyle w:val="41"/>
            </w:rPr>
            <w:t>2</w:t>
          </w:r>
          <w:r>
            <w:rPr>
              <w:rStyle w:val="41"/>
            </w:rPr>
            <w:fldChar w:fldCharType="end"/>
          </w:r>
          <w:r>
            <w:rPr>
              <w:rStyle w:val="41"/>
            </w:rPr>
            <w:fldChar w:fldCharType="end"/>
          </w:r>
        </w:p>
        <w:p w14:paraId="7DBDD369">
          <w:pPr>
            <w:pStyle w:val="16"/>
            <w:ind w:firstLine="210"/>
            <w:rPr>
              <w:rStyle w:val="41"/>
            </w:rPr>
          </w:pPr>
          <w:r>
            <w:fldChar w:fldCharType="begin"/>
          </w:r>
          <w:r>
            <w:instrText xml:space="preserve"> HYPERLINK \l "_Toc234486092" </w:instrText>
          </w:r>
          <w:r>
            <w:fldChar w:fldCharType="separate"/>
          </w:r>
          <w:r>
            <w:rPr>
              <w:rStyle w:val="41"/>
            </w:rPr>
            <w:t>3.4 焊接工艺规程（WPS） welding procedure specification</w:t>
          </w:r>
          <w:r>
            <w:rPr>
              <w:rStyle w:val="41"/>
            </w:rPr>
            <w:tab/>
          </w:r>
          <w:r>
            <w:rPr>
              <w:rStyle w:val="41"/>
            </w:rPr>
            <w:fldChar w:fldCharType="begin"/>
          </w:r>
          <w:r>
            <w:rPr>
              <w:rStyle w:val="41"/>
            </w:rPr>
            <w:instrText xml:space="preserve"> PAGEREF _Toc234486092 \h </w:instrText>
          </w:r>
          <w:r>
            <w:rPr>
              <w:rStyle w:val="41"/>
            </w:rPr>
            <w:fldChar w:fldCharType="separate"/>
          </w:r>
          <w:r>
            <w:rPr>
              <w:rStyle w:val="41"/>
            </w:rPr>
            <w:t>2</w:t>
          </w:r>
          <w:r>
            <w:rPr>
              <w:rStyle w:val="41"/>
            </w:rPr>
            <w:fldChar w:fldCharType="end"/>
          </w:r>
          <w:r>
            <w:rPr>
              <w:rStyle w:val="41"/>
            </w:rPr>
            <w:fldChar w:fldCharType="end"/>
          </w:r>
        </w:p>
        <w:p w14:paraId="3E80A3F0">
          <w:pPr>
            <w:pStyle w:val="16"/>
            <w:ind w:firstLine="210"/>
            <w:rPr>
              <w:rStyle w:val="41"/>
            </w:rPr>
          </w:pPr>
          <w:r>
            <w:fldChar w:fldCharType="begin"/>
          </w:r>
          <w:r>
            <w:instrText xml:space="preserve"> HYPERLINK \l "_Toc234486093" </w:instrText>
          </w:r>
          <w:r>
            <w:fldChar w:fldCharType="separate"/>
          </w:r>
          <w:r>
            <w:rPr>
              <w:rStyle w:val="41"/>
            </w:rPr>
            <w:t>3.5 高温设备 high-temperature service</w:t>
          </w:r>
          <w:r>
            <w:rPr>
              <w:rStyle w:val="41"/>
            </w:rPr>
            <w:tab/>
          </w:r>
          <w:r>
            <w:rPr>
              <w:rStyle w:val="41"/>
            </w:rPr>
            <w:fldChar w:fldCharType="begin"/>
          </w:r>
          <w:r>
            <w:rPr>
              <w:rStyle w:val="41"/>
            </w:rPr>
            <w:instrText xml:space="preserve"> PAGEREF _Toc234486093 \h </w:instrText>
          </w:r>
          <w:r>
            <w:rPr>
              <w:rStyle w:val="41"/>
            </w:rPr>
            <w:fldChar w:fldCharType="separate"/>
          </w:r>
          <w:r>
            <w:rPr>
              <w:rStyle w:val="41"/>
            </w:rPr>
            <w:t>2</w:t>
          </w:r>
          <w:r>
            <w:rPr>
              <w:rStyle w:val="41"/>
            </w:rPr>
            <w:fldChar w:fldCharType="end"/>
          </w:r>
          <w:r>
            <w:rPr>
              <w:rStyle w:val="41"/>
            </w:rPr>
            <w:fldChar w:fldCharType="end"/>
          </w:r>
        </w:p>
        <w:p w14:paraId="0A998237">
          <w:pPr>
            <w:pStyle w:val="16"/>
            <w:ind w:firstLine="210"/>
            <w:rPr>
              <w:rStyle w:val="41"/>
            </w:rPr>
          </w:pPr>
          <w:r>
            <w:fldChar w:fldCharType="begin"/>
          </w:r>
          <w:r>
            <w:instrText xml:space="preserve"> HYPERLINK \l "_Toc234486094" </w:instrText>
          </w:r>
          <w:r>
            <w:fldChar w:fldCharType="separate"/>
          </w:r>
          <w:r>
            <w:rPr>
              <w:rStyle w:val="41"/>
            </w:rPr>
            <w:t>3.6 高温拉伸试验  high-temperature tension test</w:t>
          </w:r>
          <w:r>
            <w:rPr>
              <w:rStyle w:val="41"/>
            </w:rPr>
            <w:tab/>
          </w:r>
          <w:r>
            <w:rPr>
              <w:rStyle w:val="41"/>
            </w:rPr>
            <w:fldChar w:fldCharType="begin"/>
          </w:r>
          <w:r>
            <w:rPr>
              <w:rStyle w:val="41"/>
            </w:rPr>
            <w:instrText xml:space="preserve"> PAGEREF _Toc234486094 \h </w:instrText>
          </w:r>
          <w:r>
            <w:rPr>
              <w:rStyle w:val="41"/>
            </w:rPr>
            <w:fldChar w:fldCharType="separate"/>
          </w:r>
          <w:r>
            <w:rPr>
              <w:rStyle w:val="41"/>
            </w:rPr>
            <w:t>2</w:t>
          </w:r>
          <w:r>
            <w:rPr>
              <w:rStyle w:val="41"/>
            </w:rPr>
            <w:fldChar w:fldCharType="end"/>
          </w:r>
          <w:r>
            <w:rPr>
              <w:rStyle w:val="41"/>
            </w:rPr>
            <w:fldChar w:fldCharType="end"/>
          </w:r>
        </w:p>
        <w:p w14:paraId="631E6C29">
          <w:pPr>
            <w:pStyle w:val="16"/>
            <w:ind w:firstLine="210"/>
            <w:rPr>
              <w:rStyle w:val="41"/>
            </w:rPr>
          </w:pPr>
          <w:r>
            <w:fldChar w:fldCharType="begin"/>
          </w:r>
          <w:r>
            <w:instrText xml:space="preserve"> HYPERLINK \l "_Toc234486095" </w:instrText>
          </w:r>
          <w:r>
            <w:fldChar w:fldCharType="separate"/>
          </w:r>
          <w:r>
            <w:rPr>
              <w:rStyle w:val="41"/>
            </w:rPr>
            <w:t>3.7 高温持久强度试验  stress-rupture test</w:t>
          </w:r>
          <w:r>
            <w:rPr>
              <w:rStyle w:val="41"/>
            </w:rPr>
            <w:tab/>
          </w:r>
          <w:r>
            <w:rPr>
              <w:rStyle w:val="41"/>
            </w:rPr>
            <w:fldChar w:fldCharType="begin"/>
          </w:r>
          <w:r>
            <w:rPr>
              <w:rStyle w:val="41"/>
            </w:rPr>
            <w:instrText xml:space="preserve"> PAGEREF _Toc234486095 \h </w:instrText>
          </w:r>
          <w:r>
            <w:rPr>
              <w:rStyle w:val="41"/>
            </w:rPr>
            <w:fldChar w:fldCharType="separate"/>
          </w:r>
          <w:r>
            <w:rPr>
              <w:rStyle w:val="41"/>
            </w:rPr>
            <w:t>2</w:t>
          </w:r>
          <w:r>
            <w:rPr>
              <w:rStyle w:val="41"/>
            </w:rPr>
            <w:fldChar w:fldCharType="end"/>
          </w:r>
          <w:r>
            <w:rPr>
              <w:rStyle w:val="41"/>
            </w:rPr>
            <w:fldChar w:fldCharType="end"/>
          </w:r>
        </w:p>
        <w:p w14:paraId="255C45AB">
          <w:pPr>
            <w:pStyle w:val="16"/>
            <w:ind w:firstLine="210"/>
            <w:rPr>
              <w:rStyle w:val="41"/>
            </w:rPr>
          </w:pPr>
          <w:r>
            <w:fldChar w:fldCharType="begin"/>
          </w:r>
          <w:r>
            <w:instrText xml:space="preserve"> HYPERLINK \l "_Toc234486096" </w:instrText>
          </w:r>
          <w:r>
            <w:fldChar w:fldCharType="separate"/>
          </w:r>
          <w:r>
            <w:rPr>
              <w:rStyle w:val="41"/>
            </w:rPr>
            <w:t>3.8 高温蠕变 high-temperature creep</w:t>
          </w:r>
          <w:r>
            <w:rPr>
              <w:rStyle w:val="41"/>
            </w:rPr>
            <w:tab/>
          </w:r>
          <w:r>
            <w:rPr>
              <w:rStyle w:val="41"/>
            </w:rPr>
            <w:fldChar w:fldCharType="begin"/>
          </w:r>
          <w:r>
            <w:rPr>
              <w:rStyle w:val="41"/>
            </w:rPr>
            <w:instrText xml:space="preserve"> PAGEREF _Toc234486096 \h </w:instrText>
          </w:r>
          <w:r>
            <w:rPr>
              <w:rStyle w:val="41"/>
            </w:rPr>
            <w:fldChar w:fldCharType="separate"/>
          </w:r>
          <w:r>
            <w:rPr>
              <w:rStyle w:val="41"/>
            </w:rPr>
            <w:t>2</w:t>
          </w:r>
          <w:r>
            <w:rPr>
              <w:rStyle w:val="41"/>
            </w:rPr>
            <w:fldChar w:fldCharType="end"/>
          </w:r>
          <w:r>
            <w:rPr>
              <w:rStyle w:val="41"/>
            </w:rPr>
            <w:fldChar w:fldCharType="end"/>
          </w:r>
        </w:p>
        <w:p w14:paraId="6E7C08AC">
          <w:pPr>
            <w:pStyle w:val="16"/>
            <w:ind w:firstLine="210"/>
            <w:rPr>
              <w:rStyle w:val="41"/>
            </w:rPr>
          </w:pPr>
          <w:r>
            <w:fldChar w:fldCharType="begin"/>
          </w:r>
          <w:r>
            <w:instrText xml:space="preserve"> HYPERLINK \l "_Toc234486097" </w:instrText>
          </w:r>
          <w:r>
            <w:fldChar w:fldCharType="separate"/>
          </w:r>
          <w:r>
            <w:rPr>
              <w:rStyle w:val="41"/>
            </w:rPr>
            <w:t>3.9 高温蠕变强度试验 high-temperature creep strength test</w:t>
          </w:r>
          <w:r>
            <w:rPr>
              <w:rStyle w:val="41"/>
            </w:rPr>
            <w:tab/>
          </w:r>
          <w:r>
            <w:rPr>
              <w:rStyle w:val="41"/>
            </w:rPr>
            <w:fldChar w:fldCharType="begin"/>
          </w:r>
          <w:r>
            <w:rPr>
              <w:rStyle w:val="41"/>
            </w:rPr>
            <w:instrText xml:space="preserve"> PAGEREF _Toc234486097 \h </w:instrText>
          </w:r>
          <w:r>
            <w:rPr>
              <w:rStyle w:val="41"/>
            </w:rPr>
            <w:fldChar w:fldCharType="separate"/>
          </w:r>
          <w:r>
            <w:rPr>
              <w:rStyle w:val="41"/>
            </w:rPr>
            <w:t>2</w:t>
          </w:r>
          <w:r>
            <w:rPr>
              <w:rStyle w:val="41"/>
            </w:rPr>
            <w:fldChar w:fldCharType="end"/>
          </w:r>
          <w:r>
            <w:rPr>
              <w:rStyle w:val="41"/>
            </w:rPr>
            <w:fldChar w:fldCharType="end"/>
          </w:r>
        </w:p>
        <w:p w14:paraId="421F85A0">
          <w:pPr>
            <w:pStyle w:val="32"/>
            <w:rPr>
              <w:rFonts w:asciiTheme="minorHAnsi" w:hAnsiTheme="minorHAnsi" w:eastAsiaTheme="minorEastAsia" w:cstheme="minorBidi"/>
              <w:szCs w:val="22"/>
            </w:rPr>
          </w:pPr>
          <w:r>
            <w:fldChar w:fldCharType="begin"/>
          </w:r>
          <w:r>
            <w:instrText xml:space="preserve"> HYPERLINK \l "_Toc234486098" </w:instrText>
          </w:r>
          <w:r>
            <w:fldChar w:fldCharType="separate"/>
          </w:r>
          <w:r>
            <w:rPr>
              <w:rStyle w:val="41"/>
            </w:rPr>
            <w:t>4 总则</w:t>
          </w:r>
          <w:r>
            <w:tab/>
          </w:r>
          <w:r>
            <w:fldChar w:fldCharType="begin"/>
          </w:r>
          <w:r>
            <w:instrText xml:space="preserve"> PAGEREF _Toc234486098 \h </w:instrText>
          </w:r>
          <w:r>
            <w:fldChar w:fldCharType="separate"/>
          </w:r>
          <w:r>
            <w:t>2</w:t>
          </w:r>
          <w:r>
            <w:fldChar w:fldCharType="end"/>
          </w:r>
          <w:r>
            <w:fldChar w:fldCharType="end"/>
          </w:r>
        </w:p>
        <w:p w14:paraId="167CB3E2">
          <w:pPr>
            <w:pStyle w:val="16"/>
            <w:ind w:firstLine="210"/>
            <w:rPr>
              <w:rFonts w:asciiTheme="minorHAnsi" w:hAnsiTheme="minorHAnsi" w:eastAsiaTheme="minorEastAsia" w:cstheme="minorBidi"/>
              <w:szCs w:val="22"/>
            </w:rPr>
          </w:pPr>
          <w:r>
            <w:fldChar w:fldCharType="begin"/>
          </w:r>
          <w:r>
            <w:instrText xml:space="preserve"> HYPERLINK \l "_Toc234486099" </w:instrText>
          </w:r>
          <w:r>
            <w:fldChar w:fldCharType="separate"/>
          </w:r>
          <w:r>
            <w:rPr>
              <w:rStyle w:val="41"/>
            </w:rPr>
            <w:t>4.1 焊接工艺评定</w:t>
          </w:r>
          <w:r>
            <w:tab/>
          </w:r>
          <w:r>
            <w:fldChar w:fldCharType="begin"/>
          </w:r>
          <w:r>
            <w:instrText xml:space="preserve"> PAGEREF _Toc234486099 \h </w:instrText>
          </w:r>
          <w:r>
            <w:fldChar w:fldCharType="separate"/>
          </w:r>
          <w:r>
            <w:t>2</w:t>
          </w:r>
          <w:r>
            <w:fldChar w:fldCharType="end"/>
          </w:r>
          <w:r>
            <w:fldChar w:fldCharType="end"/>
          </w:r>
        </w:p>
        <w:p w14:paraId="12B08A82">
          <w:pPr>
            <w:pStyle w:val="16"/>
            <w:ind w:firstLine="210"/>
            <w:rPr>
              <w:rFonts w:asciiTheme="minorHAnsi" w:hAnsiTheme="minorHAnsi" w:eastAsiaTheme="minorEastAsia" w:cstheme="minorBidi"/>
              <w:szCs w:val="22"/>
            </w:rPr>
          </w:pPr>
          <w:r>
            <w:fldChar w:fldCharType="begin"/>
          </w:r>
          <w:r>
            <w:instrText xml:space="preserve"> HYPERLINK \l "_Toc234486100" </w:instrText>
          </w:r>
          <w:r>
            <w:fldChar w:fldCharType="separate"/>
          </w:r>
          <w:r>
            <w:rPr>
              <w:rStyle w:val="41"/>
            </w:rPr>
            <w:t>4.2 焊接工艺规程</w:t>
          </w:r>
          <w:r>
            <w:tab/>
          </w:r>
          <w:r>
            <w:fldChar w:fldCharType="begin"/>
          </w:r>
          <w:r>
            <w:instrText xml:space="preserve"> PAGEREF _Toc234486100 \h </w:instrText>
          </w:r>
          <w:r>
            <w:fldChar w:fldCharType="separate"/>
          </w:r>
          <w:r>
            <w:t>3</w:t>
          </w:r>
          <w:r>
            <w:fldChar w:fldCharType="end"/>
          </w:r>
          <w:r>
            <w:fldChar w:fldCharType="end"/>
          </w:r>
        </w:p>
        <w:p w14:paraId="6BE0C4BB">
          <w:pPr>
            <w:pStyle w:val="16"/>
            <w:ind w:firstLine="210"/>
            <w:rPr>
              <w:rFonts w:asciiTheme="minorHAnsi" w:hAnsiTheme="minorHAnsi" w:eastAsiaTheme="minorEastAsia" w:cstheme="minorBidi"/>
              <w:szCs w:val="22"/>
            </w:rPr>
          </w:pPr>
          <w:r>
            <w:fldChar w:fldCharType="begin"/>
          </w:r>
          <w:r>
            <w:instrText xml:space="preserve"> HYPERLINK \l "_Toc234486101" </w:instrText>
          </w:r>
          <w:r>
            <w:fldChar w:fldCharType="separate"/>
          </w:r>
          <w:r>
            <w:rPr>
              <w:rStyle w:val="41"/>
            </w:rPr>
            <w:t>4.3 焊接实施前提条件</w:t>
          </w:r>
          <w:r>
            <w:tab/>
          </w:r>
          <w:r>
            <w:fldChar w:fldCharType="begin"/>
          </w:r>
          <w:r>
            <w:instrText xml:space="preserve"> PAGEREF _Toc234486101 \h </w:instrText>
          </w:r>
          <w:r>
            <w:fldChar w:fldCharType="separate"/>
          </w:r>
          <w:r>
            <w:t>3</w:t>
          </w:r>
          <w:r>
            <w:fldChar w:fldCharType="end"/>
          </w:r>
          <w:r>
            <w:fldChar w:fldCharType="end"/>
          </w:r>
        </w:p>
        <w:p w14:paraId="4F7E7DA7">
          <w:pPr>
            <w:pStyle w:val="16"/>
            <w:ind w:firstLine="210"/>
            <w:rPr>
              <w:rFonts w:asciiTheme="minorHAnsi" w:hAnsiTheme="minorHAnsi" w:eastAsiaTheme="minorEastAsia" w:cstheme="minorBidi"/>
              <w:szCs w:val="22"/>
            </w:rPr>
          </w:pPr>
          <w:r>
            <w:fldChar w:fldCharType="begin"/>
          </w:r>
          <w:r>
            <w:instrText xml:space="preserve"> HYPERLINK \l "_Toc234486102" </w:instrText>
          </w:r>
          <w:r>
            <w:fldChar w:fldCharType="separate"/>
          </w:r>
          <w:r>
            <w:rPr>
              <w:rStyle w:val="41"/>
            </w:rPr>
            <w:t>4.4 高温设备的要求</w:t>
          </w:r>
          <w:r>
            <w:tab/>
          </w:r>
          <w:r>
            <w:fldChar w:fldCharType="begin"/>
          </w:r>
          <w:r>
            <w:instrText xml:space="preserve"> PAGEREF _Toc234486102 \h </w:instrText>
          </w:r>
          <w:r>
            <w:fldChar w:fldCharType="separate"/>
          </w:r>
          <w:r>
            <w:t>3</w:t>
          </w:r>
          <w:r>
            <w:fldChar w:fldCharType="end"/>
          </w:r>
          <w:r>
            <w:fldChar w:fldCharType="end"/>
          </w:r>
        </w:p>
        <w:p w14:paraId="7436010C">
          <w:pPr>
            <w:pStyle w:val="32"/>
            <w:rPr>
              <w:rFonts w:asciiTheme="minorHAnsi" w:hAnsiTheme="minorHAnsi" w:eastAsiaTheme="minorEastAsia" w:cstheme="minorBidi"/>
              <w:szCs w:val="22"/>
            </w:rPr>
          </w:pPr>
          <w:r>
            <w:fldChar w:fldCharType="begin"/>
          </w:r>
          <w:r>
            <w:instrText xml:space="preserve"> HYPERLINK \l "_Toc234486103" </w:instrText>
          </w:r>
          <w:r>
            <w:fldChar w:fldCharType="separate"/>
          </w:r>
          <w:r>
            <w:rPr>
              <w:rStyle w:val="41"/>
            </w:rPr>
            <w:t>5 人员</w:t>
          </w:r>
          <w:r>
            <w:tab/>
          </w:r>
          <w:r>
            <w:fldChar w:fldCharType="begin"/>
          </w:r>
          <w:r>
            <w:instrText xml:space="preserve"> PAGEREF _Toc234486103 \h </w:instrText>
          </w:r>
          <w:r>
            <w:fldChar w:fldCharType="separate"/>
          </w:r>
          <w:r>
            <w:t>3</w:t>
          </w:r>
          <w:r>
            <w:fldChar w:fldCharType="end"/>
          </w:r>
          <w:r>
            <w:fldChar w:fldCharType="end"/>
          </w:r>
        </w:p>
        <w:p w14:paraId="6BE3DCD1">
          <w:pPr>
            <w:pStyle w:val="16"/>
            <w:ind w:firstLine="210"/>
            <w:rPr>
              <w:rFonts w:asciiTheme="minorHAnsi" w:hAnsiTheme="minorHAnsi" w:eastAsiaTheme="minorEastAsia" w:cstheme="minorBidi"/>
              <w:szCs w:val="22"/>
            </w:rPr>
          </w:pPr>
          <w:r>
            <w:fldChar w:fldCharType="begin"/>
          </w:r>
          <w:r>
            <w:instrText xml:space="preserve"> HYPERLINK \l "_Toc234486104" </w:instrText>
          </w:r>
          <w:r>
            <w:fldChar w:fldCharType="separate"/>
          </w:r>
          <w:r>
            <w:rPr>
              <w:rStyle w:val="41"/>
            </w:rPr>
            <w:t>5.1 焊工和焊接操作工</w:t>
          </w:r>
          <w:r>
            <w:tab/>
          </w:r>
          <w:r>
            <w:fldChar w:fldCharType="begin"/>
          </w:r>
          <w:r>
            <w:instrText xml:space="preserve"> PAGEREF _Toc234486104 \h </w:instrText>
          </w:r>
          <w:r>
            <w:fldChar w:fldCharType="separate"/>
          </w:r>
          <w:r>
            <w:t>3</w:t>
          </w:r>
          <w:r>
            <w:fldChar w:fldCharType="end"/>
          </w:r>
          <w:r>
            <w:fldChar w:fldCharType="end"/>
          </w:r>
        </w:p>
        <w:p w14:paraId="2E423064">
          <w:pPr>
            <w:pStyle w:val="16"/>
            <w:ind w:firstLine="210"/>
            <w:rPr>
              <w:rFonts w:asciiTheme="minorHAnsi" w:hAnsiTheme="minorHAnsi" w:eastAsiaTheme="minorEastAsia" w:cstheme="minorBidi"/>
              <w:szCs w:val="22"/>
            </w:rPr>
          </w:pPr>
          <w:r>
            <w:fldChar w:fldCharType="begin"/>
          </w:r>
          <w:r>
            <w:instrText xml:space="preserve"> HYPERLINK \l "_Toc234486105" </w:instrText>
          </w:r>
          <w:r>
            <w:fldChar w:fldCharType="separate"/>
          </w:r>
          <w:r>
            <w:rPr>
              <w:rStyle w:val="41"/>
            </w:rPr>
            <w:t>5.2</w:t>
          </w:r>
          <w:r>
            <w:rPr>
              <w:rStyle w:val="41"/>
              <w:rFonts w:ascii="Times New Roman"/>
            </w:rPr>
            <w:t xml:space="preserve"> 焊接技术人员</w:t>
          </w:r>
          <w:r>
            <w:tab/>
          </w:r>
          <w:r>
            <w:fldChar w:fldCharType="begin"/>
          </w:r>
          <w:r>
            <w:instrText xml:space="preserve"> PAGEREF _Toc234486105 \h </w:instrText>
          </w:r>
          <w:r>
            <w:fldChar w:fldCharType="separate"/>
          </w:r>
          <w:r>
            <w:t>3</w:t>
          </w:r>
          <w:r>
            <w:fldChar w:fldCharType="end"/>
          </w:r>
          <w:r>
            <w:fldChar w:fldCharType="end"/>
          </w:r>
        </w:p>
        <w:p w14:paraId="4946DE9B">
          <w:pPr>
            <w:pStyle w:val="16"/>
            <w:ind w:firstLine="210"/>
            <w:rPr>
              <w:rFonts w:asciiTheme="minorHAnsi" w:hAnsiTheme="minorHAnsi" w:eastAsiaTheme="minorEastAsia" w:cstheme="minorBidi"/>
              <w:szCs w:val="22"/>
            </w:rPr>
          </w:pPr>
          <w:r>
            <w:fldChar w:fldCharType="begin"/>
          </w:r>
          <w:r>
            <w:instrText xml:space="preserve"> HYPERLINK \l "_Toc234486106" </w:instrText>
          </w:r>
          <w:r>
            <w:fldChar w:fldCharType="separate"/>
          </w:r>
          <w:r>
            <w:rPr>
              <w:rStyle w:val="41"/>
            </w:rPr>
            <w:t>5.3 检验人员</w:t>
          </w:r>
          <w:r>
            <w:tab/>
          </w:r>
          <w:r>
            <w:fldChar w:fldCharType="begin"/>
          </w:r>
          <w:r>
            <w:instrText xml:space="preserve"> PAGEREF _Toc234486106 \h </w:instrText>
          </w:r>
          <w:r>
            <w:fldChar w:fldCharType="separate"/>
          </w:r>
          <w:r>
            <w:t>3</w:t>
          </w:r>
          <w:r>
            <w:fldChar w:fldCharType="end"/>
          </w:r>
          <w:r>
            <w:fldChar w:fldCharType="end"/>
          </w:r>
        </w:p>
        <w:p w14:paraId="03F0EBB2">
          <w:pPr>
            <w:pStyle w:val="16"/>
            <w:ind w:firstLine="210"/>
            <w:rPr>
              <w:rFonts w:asciiTheme="minorHAnsi" w:hAnsiTheme="minorHAnsi" w:eastAsiaTheme="minorEastAsia" w:cstheme="minorBidi"/>
              <w:szCs w:val="22"/>
            </w:rPr>
          </w:pPr>
          <w:r>
            <w:fldChar w:fldCharType="begin"/>
          </w:r>
          <w:r>
            <w:instrText xml:space="preserve"> HYPERLINK \l "_Toc234486107" </w:instrText>
          </w:r>
          <w:r>
            <w:fldChar w:fldCharType="separate"/>
          </w:r>
          <w:r>
            <w:rPr>
              <w:rStyle w:val="41"/>
            </w:rPr>
            <w:t>5.4</w:t>
          </w:r>
          <w:r>
            <w:rPr>
              <w:rStyle w:val="41"/>
              <w:rFonts w:ascii="Times New Roman"/>
            </w:rPr>
            <w:t xml:space="preserve"> 热处理人员</w:t>
          </w:r>
          <w:r>
            <w:tab/>
          </w:r>
          <w:r>
            <w:fldChar w:fldCharType="begin"/>
          </w:r>
          <w:r>
            <w:instrText xml:space="preserve"> PAGEREF _Toc234486107 \h </w:instrText>
          </w:r>
          <w:r>
            <w:fldChar w:fldCharType="separate"/>
          </w:r>
          <w:r>
            <w:t>4</w:t>
          </w:r>
          <w:r>
            <w:fldChar w:fldCharType="end"/>
          </w:r>
          <w:r>
            <w:fldChar w:fldCharType="end"/>
          </w:r>
        </w:p>
        <w:p w14:paraId="68F6E218">
          <w:pPr>
            <w:pStyle w:val="32"/>
            <w:rPr>
              <w:rFonts w:asciiTheme="minorHAnsi" w:hAnsiTheme="minorHAnsi" w:eastAsiaTheme="minorEastAsia" w:cstheme="minorBidi"/>
              <w:szCs w:val="22"/>
            </w:rPr>
          </w:pPr>
          <w:r>
            <w:fldChar w:fldCharType="begin"/>
          </w:r>
          <w:r>
            <w:instrText xml:space="preserve"> HYPERLINK \l "_Toc234486108" </w:instrText>
          </w:r>
          <w:r>
            <w:fldChar w:fldCharType="separate"/>
          </w:r>
          <w:r>
            <w:rPr>
              <w:rStyle w:val="41"/>
            </w:rPr>
            <w:t>6 焊接制造车间评定</w:t>
          </w:r>
          <w:r>
            <w:tab/>
          </w:r>
          <w:r>
            <w:fldChar w:fldCharType="begin"/>
          </w:r>
          <w:r>
            <w:instrText xml:space="preserve"> PAGEREF _Toc234486108 \h </w:instrText>
          </w:r>
          <w:r>
            <w:fldChar w:fldCharType="separate"/>
          </w:r>
          <w:r>
            <w:t>4</w:t>
          </w:r>
          <w:r>
            <w:fldChar w:fldCharType="end"/>
          </w:r>
          <w:r>
            <w:fldChar w:fldCharType="end"/>
          </w:r>
        </w:p>
        <w:p w14:paraId="759C36E3">
          <w:pPr>
            <w:pStyle w:val="32"/>
            <w:rPr>
              <w:rFonts w:asciiTheme="minorHAnsi" w:hAnsiTheme="minorHAnsi" w:eastAsiaTheme="minorEastAsia" w:cstheme="minorBidi"/>
              <w:szCs w:val="22"/>
            </w:rPr>
          </w:pPr>
          <w:r>
            <w:fldChar w:fldCharType="begin"/>
          </w:r>
          <w:r>
            <w:instrText xml:space="preserve"> HYPERLINK \l "_Toc234486109" </w:instrText>
          </w:r>
          <w:r>
            <w:fldChar w:fldCharType="separate"/>
          </w:r>
          <w:r>
            <w:rPr>
              <w:rStyle w:val="41"/>
            </w:rPr>
            <w:t>7 焊接数据包</w:t>
          </w:r>
          <w:r>
            <w:tab/>
          </w:r>
          <w:r>
            <w:fldChar w:fldCharType="begin"/>
          </w:r>
          <w:r>
            <w:instrText xml:space="preserve"> PAGEREF _Toc234486109 \h </w:instrText>
          </w:r>
          <w:r>
            <w:fldChar w:fldCharType="separate"/>
          </w:r>
          <w:r>
            <w:t>4</w:t>
          </w:r>
          <w:r>
            <w:fldChar w:fldCharType="end"/>
          </w:r>
          <w:r>
            <w:fldChar w:fldCharType="end"/>
          </w:r>
        </w:p>
        <w:p w14:paraId="6F49093D">
          <w:pPr>
            <w:pStyle w:val="32"/>
            <w:rPr>
              <w:rFonts w:asciiTheme="minorHAnsi" w:hAnsiTheme="minorHAnsi" w:eastAsiaTheme="minorEastAsia" w:cstheme="minorBidi"/>
              <w:szCs w:val="22"/>
            </w:rPr>
          </w:pPr>
          <w:r>
            <w:fldChar w:fldCharType="begin"/>
          </w:r>
          <w:r>
            <w:instrText xml:space="preserve"> HYPERLINK \l "_Toc234486110" </w:instrText>
          </w:r>
          <w:r>
            <w:fldChar w:fldCharType="separate"/>
          </w:r>
          <w:r>
            <w:rPr>
              <w:rStyle w:val="41"/>
            </w:rPr>
            <w:t>8 标识和可追溯性</w:t>
          </w:r>
          <w:r>
            <w:tab/>
          </w:r>
          <w:r>
            <w:fldChar w:fldCharType="begin"/>
          </w:r>
          <w:r>
            <w:instrText xml:space="preserve"> PAGEREF _Toc234486110 \h </w:instrText>
          </w:r>
          <w:r>
            <w:fldChar w:fldCharType="separate"/>
          </w:r>
          <w:r>
            <w:t>4</w:t>
          </w:r>
          <w:r>
            <w:fldChar w:fldCharType="end"/>
          </w:r>
          <w:r>
            <w:fldChar w:fldCharType="end"/>
          </w:r>
        </w:p>
        <w:p w14:paraId="450AEDF0">
          <w:pPr>
            <w:pStyle w:val="16"/>
            <w:ind w:firstLine="210"/>
            <w:rPr>
              <w:rFonts w:asciiTheme="minorHAnsi" w:hAnsiTheme="minorHAnsi" w:eastAsiaTheme="minorEastAsia" w:cstheme="minorBidi"/>
              <w:szCs w:val="22"/>
            </w:rPr>
          </w:pPr>
          <w:r>
            <w:fldChar w:fldCharType="begin"/>
          </w:r>
          <w:r>
            <w:instrText xml:space="preserve"> HYPERLINK \l "_Toc234486111" </w:instrText>
          </w:r>
          <w:r>
            <w:fldChar w:fldCharType="separate"/>
          </w:r>
          <w:r>
            <w:rPr>
              <w:rStyle w:val="41"/>
            </w:rPr>
            <w:t>8.1</w:t>
          </w:r>
          <w:r>
            <w:rPr>
              <w:rStyle w:val="41"/>
              <w:rFonts w:hAnsi="黑体"/>
            </w:rPr>
            <w:t xml:space="preserve"> 焊工或焊接操作工的识别标记</w:t>
          </w:r>
          <w:r>
            <w:tab/>
          </w:r>
          <w:r>
            <w:fldChar w:fldCharType="begin"/>
          </w:r>
          <w:r>
            <w:instrText xml:space="preserve"> PAGEREF _Toc234486111 \h </w:instrText>
          </w:r>
          <w:r>
            <w:fldChar w:fldCharType="separate"/>
          </w:r>
          <w:r>
            <w:t>4</w:t>
          </w:r>
          <w:r>
            <w:fldChar w:fldCharType="end"/>
          </w:r>
          <w:r>
            <w:fldChar w:fldCharType="end"/>
          </w:r>
        </w:p>
        <w:p w14:paraId="067615FF">
          <w:pPr>
            <w:pStyle w:val="16"/>
            <w:ind w:firstLine="210"/>
            <w:rPr>
              <w:rFonts w:asciiTheme="minorHAnsi" w:hAnsiTheme="minorHAnsi" w:eastAsiaTheme="minorEastAsia" w:cstheme="minorBidi"/>
              <w:szCs w:val="22"/>
            </w:rPr>
          </w:pPr>
          <w:r>
            <w:fldChar w:fldCharType="begin"/>
          </w:r>
          <w:r>
            <w:instrText xml:space="preserve"> HYPERLINK \l "_Toc234486112" </w:instrText>
          </w:r>
          <w:r>
            <w:fldChar w:fldCharType="separate"/>
          </w:r>
          <w:r>
            <w:rPr>
              <w:rStyle w:val="41"/>
            </w:rPr>
            <w:t>8.2 标识和可追溯性</w:t>
          </w:r>
          <w:r>
            <w:tab/>
          </w:r>
          <w:r>
            <w:fldChar w:fldCharType="begin"/>
          </w:r>
          <w:r>
            <w:instrText xml:space="preserve"> PAGEREF _Toc234486112 \h </w:instrText>
          </w:r>
          <w:r>
            <w:fldChar w:fldCharType="separate"/>
          </w:r>
          <w:r>
            <w:t>5</w:t>
          </w:r>
          <w:r>
            <w:fldChar w:fldCharType="end"/>
          </w:r>
          <w:r>
            <w:fldChar w:fldCharType="end"/>
          </w:r>
        </w:p>
        <w:p w14:paraId="74C20C22">
          <w:pPr>
            <w:pStyle w:val="32"/>
            <w:rPr>
              <w:rFonts w:asciiTheme="minorHAnsi" w:hAnsiTheme="minorHAnsi" w:eastAsiaTheme="minorEastAsia" w:cstheme="minorBidi"/>
              <w:szCs w:val="22"/>
            </w:rPr>
          </w:pPr>
          <w:r>
            <w:fldChar w:fldCharType="begin"/>
          </w:r>
          <w:r>
            <w:instrText xml:space="preserve"> HYPERLINK \l "_Toc234486113" </w:instrText>
          </w:r>
          <w:r>
            <w:fldChar w:fldCharType="separate"/>
          </w:r>
          <w:r>
            <w:rPr>
              <w:rStyle w:val="41"/>
            </w:rPr>
            <w:t>9 试样、评定接头和产品焊接见证件的保存</w:t>
          </w:r>
          <w:r>
            <w:tab/>
          </w:r>
          <w:r>
            <w:fldChar w:fldCharType="begin"/>
          </w:r>
          <w:r>
            <w:instrText xml:space="preserve"> PAGEREF _Toc234486113 \h </w:instrText>
          </w:r>
          <w:r>
            <w:fldChar w:fldCharType="separate"/>
          </w:r>
          <w:r>
            <w:t>5</w:t>
          </w:r>
          <w:r>
            <w:fldChar w:fldCharType="end"/>
          </w:r>
          <w:r>
            <w:fldChar w:fldCharType="end"/>
          </w:r>
        </w:p>
        <w:p w14:paraId="4275D475">
          <w:pPr>
            <w:pStyle w:val="32"/>
            <w:rPr>
              <w:rFonts w:asciiTheme="minorHAnsi" w:hAnsiTheme="minorHAnsi" w:eastAsiaTheme="minorEastAsia" w:cstheme="minorBidi"/>
              <w:szCs w:val="22"/>
            </w:rPr>
          </w:pPr>
          <w:r>
            <w:fldChar w:fldCharType="begin"/>
          </w:r>
          <w:r>
            <w:instrText xml:space="preserve"> HYPERLINK \l "_Toc234486114" </w:instrText>
          </w:r>
          <w:r>
            <w:fldChar w:fldCharType="separate"/>
          </w:r>
          <w:r>
            <w:rPr>
              <w:rStyle w:val="41"/>
            </w:rPr>
            <w:t>附录A</w:t>
          </w:r>
          <w:r>
            <w:tab/>
          </w:r>
          <w:r>
            <w:fldChar w:fldCharType="begin"/>
          </w:r>
          <w:r>
            <w:instrText xml:space="preserve"> PAGEREF _Toc234486114 \h </w:instrText>
          </w:r>
          <w:r>
            <w:fldChar w:fldCharType="separate"/>
          </w:r>
          <w:r>
            <w:t>6</w:t>
          </w:r>
          <w:r>
            <w:fldChar w:fldCharType="end"/>
          </w:r>
          <w:r>
            <w:fldChar w:fldCharType="end"/>
          </w:r>
        </w:p>
        <w:p w14:paraId="2F443A24">
          <w:pPr>
            <w:pStyle w:val="32"/>
            <w:rPr>
              <w:rFonts w:asciiTheme="minorHAnsi" w:hAnsiTheme="minorHAnsi" w:eastAsiaTheme="minorEastAsia" w:cstheme="minorBidi"/>
              <w:szCs w:val="22"/>
            </w:rPr>
          </w:pPr>
          <w:r>
            <w:fldChar w:fldCharType="begin"/>
          </w:r>
          <w:r>
            <w:instrText xml:space="preserve"> HYPERLINK \l "_Toc234486116" </w:instrText>
          </w:r>
          <w:r>
            <w:fldChar w:fldCharType="separate"/>
          </w:r>
          <w:r>
            <w:rPr>
              <w:rStyle w:val="41"/>
            </w:rPr>
            <w:t>焊接工艺规程流程图</w:t>
          </w:r>
          <w:r>
            <w:tab/>
          </w:r>
          <w:r>
            <w:fldChar w:fldCharType="begin"/>
          </w:r>
          <w:r>
            <w:instrText xml:space="preserve"> PAGEREF _Toc234486116 \h </w:instrText>
          </w:r>
          <w:r>
            <w:fldChar w:fldCharType="separate"/>
          </w:r>
          <w:r>
            <w:t>6</w:t>
          </w:r>
          <w:r>
            <w:fldChar w:fldCharType="end"/>
          </w:r>
          <w:r>
            <w:fldChar w:fldCharType="end"/>
          </w:r>
        </w:p>
        <w:p w14:paraId="6F3A2905">
          <w:pPr>
            <w:pStyle w:val="23"/>
            <w:spacing w:before="78" w:after="78"/>
          </w:pPr>
          <w:r>
            <w:rPr>
              <w:b/>
              <w:bCs/>
              <w:lang w:val="zh-CN"/>
            </w:rPr>
            <w:fldChar w:fldCharType="end"/>
          </w:r>
        </w:p>
      </w:sdtContent>
    </w:sdt>
    <w:p w14:paraId="17C73A16">
      <w:pPr>
        <w:pStyle w:val="27"/>
      </w:pPr>
    </w:p>
    <w:p w14:paraId="7EAD68F6">
      <w:pPr>
        <w:pStyle w:val="27"/>
      </w:pPr>
    </w:p>
    <w:p w14:paraId="33482C4A">
      <w:pPr>
        <w:pStyle w:val="115"/>
      </w:pPr>
      <w:bookmarkStart w:id="6" w:name="_Toc234486084"/>
      <w:bookmarkStart w:id="7" w:name="_Toc20302068"/>
      <w:r>
        <w:rPr>
          <w:rFonts w:hint="eastAsia"/>
        </w:rPr>
        <w:t>前</w:t>
      </w:r>
      <w:bookmarkStart w:id="8" w:name="BKQY"/>
      <w:r>
        <w:rPr>
          <w:rFonts w:hint="eastAsia" w:ascii="MS Mincho" w:hAnsi="MS Mincho" w:eastAsia="MS Mincho" w:cs="MS Mincho"/>
        </w:rPr>
        <w:t>  </w:t>
      </w:r>
      <w:r>
        <w:rPr>
          <w:rFonts w:hint="eastAsia"/>
        </w:rPr>
        <w:t>言</w:t>
      </w:r>
      <w:bookmarkEnd w:id="6"/>
      <w:bookmarkEnd w:id="7"/>
      <w:bookmarkEnd w:id="8"/>
    </w:p>
    <w:p w14:paraId="13C8E624">
      <w:pPr>
        <w:pStyle w:val="27"/>
        <w:rPr>
          <w:rFonts w:ascii="Times New Roman"/>
        </w:rPr>
      </w:pPr>
      <w:r>
        <w:rPr>
          <w:rFonts w:ascii="Times New Roman"/>
        </w:rPr>
        <w:t>本</w:t>
      </w:r>
      <w:r>
        <w:rPr>
          <w:rFonts w:hint="eastAsia" w:ascii="Times New Roman"/>
        </w:rPr>
        <w:t>文件</w:t>
      </w:r>
      <w:r>
        <w:rPr>
          <w:rFonts w:ascii="Times New Roman"/>
        </w:rPr>
        <w:t>按照GB/T 1.1</w:t>
      </w:r>
      <w:r>
        <w:rPr>
          <w:rFonts w:hint="eastAsia" w:ascii="Times New Roman"/>
        </w:rPr>
        <w:t>—</w:t>
      </w:r>
      <w:r>
        <w:rPr>
          <w:rFonts w:hint="eastAsia"/>
        </w:rPr>
        <w:t>2020《标准化工作导则 第1部分：标准化文件的结构和起草规则》的规定起草</w:t>
      </w:r>
      <w:r>
        <w:rPr>
          <w:rFonts w:ascii="Times New Roman"/>
        </w:rPr>
        <w:t>。</w:t>
      </w:r>
    </w:p>
    <w:p w14:paraId="40882800">
      <w:pPr>
        <w:pStyle w:val="27"/>
        <w:rPr>
          <w:rFonts w:ascii="Times New Roman"/>
        </w:rPr>
      </w:pPr>
      <w:r>
        <w:rPr>
          <w:rFonts w:hint="eastAsia" w:ascii="Times New Roman"/>
        </w:rPr>
        <w:t>请注意本文件的某些内容可能涉及专利。本文件的发布机构不承担识别专利的责任。</w:t>
      </w:r>
    </w:p>
    <w:p w14:paraId="78978AB0">
      <w:pPr>
        <w:pStyle w:val="27"/>
        <w:rPr>
          <w:rFonts w:ascii="Times New Roman"/>
        </w:rPr>
      </w:pPr>
      <w:r>
        <w:rPr>
          <w:rFonts w:hint="eastAsia" w:ascii="Times New Roman"/>
        </w:rPr>
        <w:t>本标准由中国核学会提出。</w:t>
      </w:r>
    </w:p>
    <w:p w14:paraId="583E583D">
      <w:pPr>
        <w:pStyle w:val="27"/>
        <w:rPr>
          <w:rFonts w:ascii="Times New Roman"/>
          <w:color w:val="000000"/>
        </w:rPr>
      </w:pPr>
      <w:r>
        <w:rPr>
          <w:rFonts w:hint="eastAsia" w:ascii="Times New Roman"/>
        </w:rPr>
        <w:t>本标</w:t>
      </w:r>
      <w:r>
        <w:rPr>
          <w:rFonts w:hint="eastAsia" w:ascii="Times New Roman"/>
          <w:color w:val="000000"/>
        </w:rPr>
        <w:t>准由核工业标准化研究所归口。</w:t>
      </w:r>
    </w:p>
    <w:p w14:paraId="69145B60">
      <w:pPr>
        <w:pStyle w:val="27"/>
        <w:rPr>
          <w:rFonts w:ascii="Times New Roman"/>
        </w:rPr>
      </w:pPr>
      <w:r>
        <w:rPr>
          <w:rFonts w:hint="eastAsia" w:ascii="Times New Roman"/>
          <w:color w:val="000000"/>
        </w:rPr>
        <w:t>本标准起草单位：</w:t>
      </w:r>
      <w:r>
        <w:rPr>
          <w:rFonts w:hint="eastAsia" w:ascii="Times New Roman"/>
        </w:rPr>
        <w:t>中核能源科技有限公司，清华大学核能与新能源技术研究院，核工业工程研究设计有限公司。</w:t>
      </w:r>
    </w:p>
    <w:p w14:paraId="40856D30">
      <w:pPr>
        <w:pStyle w:val="27"/>
        <w:rPr>
          <w:rFonts w:ascii="Times New Roman"/>
        </w:rPr>
      </w:pPr>
      <w:r>
        <w:rPr>
          <w:rFonts w:hint="eastAsia" w:ascii="Times New Roman"/>
        </w:rPr>
        <w:t>本标准主要起草人：王勇、伦辛杰、傅激扬、吴晔华、王培河、吴北良、汪垠。</w:t>
      </w:r>
    </w:p>
    <w:p w14:paraId="2C31D6F0">
      <w:pPr>
        <w:widowControl/>
        <w:jc w:val="left"/>
        <w:rPr>
          <w:rFonts w:ascii="宋体"/>
          <w:kern w:val="0"/>
          <w:szCs w:val="20"/>
        </w:rPr>
      </w:pPr>
      <w:r>
        <w:br w:type="page"/>
      </w:r>
    </w:p>
    <w:p w14:paraId="2A85B04F">
      <w:pPr>
        <w:pStyle w:val="115"/>
      </w:pPr>
      <w:bookmarkStart w:id="9" w:name="_Toc234486085"/>
      <w:bookmarkStart w:id="10" w:name="_Toc233814553"/>
      <w:r>
        <w:rPr>
          <w:rFonts w:hint="eastAsia" w:cs="MS Mincho" w:asciiTheme="minorEastAsia" w:hAnsiTheme="minorEastAsia" w:eastAsiaTheme="minorEastAsia"/>
        </w:rPr>
        <w:t>引</w:t>
      </w:r>
      <w:r>
        <w:rPr>
          <w:rFonts w:hint="eastAsia" w:ascii="MS Mincho" w:hAnsi="MS Mincho" w:eastAsia="MS Mincho" w:cs="MS Mincho"/>
        </w:rPr>
        <w:t>  </w:t>
      </w:r>
      <w:r>
        <w:rPr>
          <w:rFonts w:hint="eastAsia"/>
        </w:rPr>
        <w:t>言</w:t>
      </w:r>
      <w:bookmarkEnd w:id="9"/>
      <w:bookmarkEnd w:id="10"/>
    </w:p>
    <w:p w14:paraId="220A67D6">
      <w:pPr>
        <w:ind w:firstLine="420" w:firstLineChars="200"/>
        <w:rPr>
          <w:kern w:val="0"/>
        </w:rPr>
      </w:pPr>
      <w:r>
        <w:rPr>
          <w:rFonts w:hint="eastAsia"/>
          <w:kern w:val="0"/>
        </w:rPr>
        <w:t>《高温气冷堆核动力厂核级高温设备焊接规范》分为1</w:t>
      </w:r>
      <w:r>
        <w:rPr>
          <w:kern w:val="0"/>
        </w:rPr>
        <w:t>0</w:t>
      </w:r>
      <w:r>
        <w:rPr>
          <w:rFonts w:hint="eastAsia"/>
          <w:kern w:val="0"/>
        </w:rPr>
        <w:t>个部分：</w:t>
      </w:r>
    </w:p>
    <w:p w14:paraId="65E00C03">
      <w:pPr>
        <w:pStyle w:val="27"/>
        <w:rPr>
          <w:rFonts w:ascii="Times New Roman"/>
        </w:rPr>
      </w:pPr>
      <w:r>
        <w:rPr>
          <w:rFonts w:hint="eastAsia" w:ascii="Times New Roman"/>
        </w:rPr>
        <w:t>—第1部分 通用要求</w:t>
      </w:r>
    </w:p>
    <w:p w14:paraId="3AB42516">
      <w:pPr>
        <w:pStyle w:val="27"/>
        <w:rPr>
          <w:rFonts w:ascii="Times New Roman"/>
        </w:rPr>
      </w:pPr>
      <w:r>
        <w:rPr>
          <w:rFonts w:hint="eastAsia" w:ascii="Times New Roman"/>
        </w:rPr>
        <w:t>—第</w:t>
      </w:r>
      <w:r>
        <w:rPr>
          <w:rFonts w:ascii="Times New Roman"/>
        </w:rPr>
        <w:t>2</w:t>
      </w:r>
      <w:r>
        <w:rPr>
          <w:rFonts w:hint="eastAsia" w:ascii="Times New Roman"/>
        </w:rPr>
        <w:t>部分 产品焊接与热处理</w:t>
      </w:r>
    </w:p>
    <w:p w14:paraId="3F04CDCF">
      <w:pPr>
        <w:pStyle w:val="27"/>
        <w:rPr>
          <w:rFonts w:ascii="Times New Roman"/>
        </w:rPr>
      </w:pPr>
      <w:r>
        <w:rPr>
          <w:rFonts w:hint="eastAsia" w:ascii="Times New Roman"/>
        </w:rPr>
        <w:t>—第</w:t>
      </w:r>
      <w:r>
        <w:rPr>
          <w:rFonts w:ascii="Times New Roman"/>
        </w:rPr>
        <w:t>3</w:t>
      </w:r>
      <w:r>
        <w:rPr>
          <w:rFonts w:hint="eastAsia" w:ascii="Times New Roman"/>
        </w:rPr>
        <w:t>部分 焊接工艺评定</w:t>
      </w:r>
    </w:p>
    <w:p w14:paraId="3CB78586">
      <w:pPr>
        <w:pStyle w:val="27"/>
        <w:rPr>
          <w:rFonts w:ascii="Times New Roman"/>
        </w:rPr>
      </w:pPr>
      <w:r>
        <w:rPr>
          <w:rFonts w:hint="eastAsia" w:ascii="Times New Roman"/>
        </w:rPr>
        <w:t>—第</w:t>
      </w:r>
      <w:r>
        <w:rPr>
          <w:rFonts w:ascii="Times New Roman"/>
        </w:rPr>
        <w:t>4</w:t>
      </w:r>
      <w:r>
        <w:rPr>
          <w:rFonts w:hint="eastAsia" w:ascii="Times New Roman"/>
        </w:rPr>
        <w:t>部分 产品焊接见证件</w:t>
      </w:r>
    </w:p>
    <w:p w14:paraId="7427F8A1">
      <w:pPr>
        <w:pStyle w:val="27"/>
        <w:rPr>
          <w:rFonts w:ascii="Times New Roman"/>
        </w:rPr>
      </w:pPr>
      <w:r>
        <w:rPr>
          <w:rFonts w:hint="eastAsia" w:ascii="Times New Roman"/>
        </w:rPr>
        <w:t>—第</w:t>
      </w:r>
      <w:r>
        <w:rPr>
          <w:rFonts w:ascii="Times New Roman"/>
        </w:rPr>
        <w:t>5</w:t>
      </w:r>
      <w:r>
        <w:rPr>
          <w:rFonts w:hint="eastAsia" w:ascii="Times New Roman"/>
        </w:rPr>
        <w:t>部分 焊接检验</w:t>
      </w:r>
    </w:p>
    <w:p w14:paraId="31210EA8">
      <w:pPr>
        <w:pStyle w:val="27"/>
        <w:rPr>
          <w:rFonts w:ascii="Times New Roman"/>
        </w:rPr>
      </w:pPr>
      <w:r>
        <w:rPr>
          <w:rFonts w:hint="eastAsia" w:ascii="Times New Roman"/>
        </w:rPr>
        <w:t>—第</w:t>
      </w:r>
      <w:r>
        <w:rPr>
          <w:rFonts w:ascii="Times New Roman"/>
        </w:rPr>
        <w:t>6</w:t>
      </w:r>
      <w:r>
        <w:rPr>
          <w:rFonts w:hint="eastAsia" w:ascii="Times New Roman"/>
        </w:rPr>
        <w:t>部分 支吊架焊接接头</w:t>
      </w:r>
    </w:p>
    <w:p w14:paraId="36F8948C">
      <w:pPr>
        <w:pStyle w:val="27"/>
        <w:rPr>
          <w:rFonts w:ascii="Times New Roman"/>
        </w:rPr>
      </w:pPr>
      <w:r>
        <w:rPr>
          <w:rFonts w:hint="eastAsia" w:ascii="Times New Roman"/>
        </w:rPr>
        <w:t>—第</w:t>
      </w:r>
      <w:r>
        <w:rPr>
          <w:rFonts w:ascii="Times New Roman"/>
        </w:rPr>
        <w:t>7</w:t>
      </w:r>
      <w:r>
        <w:rPr>
          <w:rFonts w:hint="eastAsia" w:ascii="Times New Roman"/>
        </w:rPr>
        <w:t>部分 不锈钢焊丝材料</w:t>
      </w:r>
    </w:p>
    <w:p w14:paraId="30F386B0">
      <w:pPr>
        <w:pStyle w:val="27"/>
        <w:rPr>
          <w:rFonts w:ascii="Times New Roman"/>
        </w:rPr>
      </w:pPr>
      <w:r>
        <w:rPr>
          <w:rFonts w:hint="eastAsia" w:ascii="Times New Roman"/>
        </w:rPr>
        <w:t>—第</w:t>
      </w:r>
      <w:r>
        <w:rPr>
          <w:rFonts w:ascii="Times New Roman"/>
        </w:rPr>
        <w:t>8</w:t>
      </w:r>
      <w:r>
        <w:rPr>
          <w:rFonts w:hint="eastAsia" w:ascii="Times New Roman"/>
        </w:rPr>
        <w:t>部分 低合金钢焊丝材料</w:t>
      </w:r>
    </w:p>
    <w:p w14:paraId="55A7731F">
      <w:pPr>
        <w:pStyle w:val="27"/>
        <w:rPr>
          <w:rFonts w:ascii="Times New Roman"/>
        </w:rPr>
      </w:pPr>
      <w:r>
        <w:rPr>
          <w:rFonts w:hint="eastAsia" w:ascii="Times New Roman"/>
        </w:rPr>
        <w:t>—第</w:t>
      </w:r>
      <w:r>
        <w:rPr>
          <w:rFonts w:ascii="Times New Roman"/>
        </w:rPr>
        <w:t>9</w:t>
      </w:r>
      <w:r>
        <w:rPr>
          <w:rFonts w:hint="eastAsia" w:ascii="Times New Roman"/>
        </w:rPr>
        <w:t>部分 低合金钢焊条材料</w:t>
      </w:r>
    </w:p>
    <w:p w14:paraId="281CB0E8">
      <w:pPr>
        <w:pStyle w:val="27"/>
        <w:rPr>
          <w:rFonts w:ascii="Times New Roman"/>
        </w:rPr>
      </w:pPr>
      <w:r>
        <w:rPr>
          <w:rFonts w:hint="eastAsia" w:ascii="Times New Roman"/>
        </w:rPr>
        <w:t>—第</w:t>
      </w:r>
      <w:r>
        <w:rPr>
          <w:rFonts w:ascii="Times New Roman"/>
        </w:rPr>
        <w:t>10</w:t>
      </w:r>
      <w:r>
        <w:rPr>
          <w:rFonts w:hint="eastAsia" w:ascii="Times New Roman"/>
        </w:rPr>
        <w:t>部分镍基合金焊丝材料</w:t>
      </w:r>
    </w:p>
    <w:p w14:paraId="7446B967">
      <w:pPr>
        <w:pStyle w:val="27"/>
      </w:pPr>
      <w:r>
        <w:rPr>
          <w:rFonts w:hint="eastAsia"/>
        </w:rPr>
        <w:t>本部分为第</w:t>
      </w:r>
      <w:r>
        <w:t>1</w:t>
      </w:r>
      <w:r>
        <w:rPr>
          <w:rFonts w:hint="eastAsia"/>
        </w:rPr>
        <w:t>部分。本部分是在ASME第III卷的基础上，参考NB</w:t>
      </w:r>
      <w:r>
        <w:t>/</w:t>
      </w:r>
      <w:r>
        <w:rPr>
          <w:rFonts w:hint="eastAsia"/>
        </w:rPr>
        <w:t>T 20002.</w:t>
      </w:r>
      <w:r>
        <w:t>1压水堆核电厂机械设备焊接规范</w:t>
      </w:r>
      <w:r>
        <w:rPr>
          <w:rFonts w:hint="eastAsia"/>
        </w:rPr>
        <w:t xml:space="preserve"> 第</w:t>
      </w:r>
      <w:r>
        <w:t>1</w:t>
      </w:r>
      <w:r>
        <w:rPr>
          <w:rFonts w:hint="eastAsia"/>
        </w:rPr>
        <w:t>部分：通用要求，增加了高温设备焊接的相关定义和要求。</w:t>
      </w:r>
    </w:p>
    <w:p w14:paraId="1F6BF76F">
      <w:pPr>
        <w:pStyle w:val="27"/>
        <w:ind w:firstLine="0" w:firstLineChars="0"/>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14:paraId="63058020">
      <w:pPr>
        <w:pStyle w:val="27"/>
        <w:ind w:firstLine="640"/>
        <w:jc w:val="center"/>
        <w:rPr>
          <w:rFonts w:ascii="黑体" w:hAnsi="黑体" w:eastAsia="黑体"/>
          <w:sz w:val="32"/>
          <w:szCs w:val="32"/>
        </w:rPr>
      </w:pPr>
      <w:bookmarkStart w:id="11" w:name="_Toc48658962"/>
      <w:r>
        <w:rPr>
          <w:rFonts w:hint="eastAsia" w:ascii="黑体" w:hAnsi="黑体" w:eastAsia="黑体"/>
          <w:sz w:val="32"/>
          <w:szCs w:val="32"/>
        </w:rPr>
        <w:t>高温气冷堆核动力厂</w:t>
      </w:r>
      <w:bookmarkEnd w:id="11"/>
      <w:r>
        <w:rPr>
          <w:rFonts w:hint="eastAsia" w:ascii="黑体" w:hAnsi="黑体" w:eastAsia="黑体"/>
          <w:sz w:val="32"/>
          <w:szCs w:val="32"/>
        </w:rPr>
        <w:t>核级高温设备焊接规范</w:t>
      </w:r>
    </w:p>
    <w:p w14:paraId="613313E7">
      <w:pPr>
        <w:pStyle w:val="27"/>
        <w:ind w:firstLine="640"/>
        <w:jc w:val="center"/>
        <w:rPr>
          <w:rFonts w:ascii="黑体" w:hAnsi="黑体" w:eastAsia="黑体"/>
          <w:sz w:val="32"/>
          <w:szCs w:val="32"/>
        </w:rPr>
      </w:pPr>
      <w:r>
        <w:rPr>
          <w:rFonts w:hint="eastAsia" w:ascii="黑体" w:hAnsi="黑体" w:eastAsia="黑体"/>
          <w:sz w:val="32"/>
          <w:szCs w:val="32"/>
        </w:rPr>
        <w:t>第1部分：通用要求</w:t>
      </w:r>
    </w:p>
    <w:p w14:paraId="06DDF3E6">
      <w:pPr>
        <w:pStyle w:val="48"/>
        <w:rPr>
          <w:szCs w:val="21"/>
        </w:rPr>
      </w:pPr>
      <w:bookmarkStart w:id="12" w:name="_Toc20302069"/>
      <w:bookmarkStart w:id="13" w:name="_Toc20301579"/>
      <w:bookmarkStart w:id="14" w:name="_Toc234486086"/>
      <w:r>
        <w:rPr>
          <w:rFonts w:hint="eastAsia"/>
          <w:szCs w:val="21"/>
        </w:rPr>
        <w:t>范围</w:t>
      </w:r>
      <w:bookmarkEnd w:id="12"/>
      <w:bookmarkEnd w:id="13"/>
      <w:bookmarkEnd w:id="14"/>
    </w:p>
    <w:p w14:paraId="6F0B6568">
      <w:pPr>
        <w:pStyle w:val="27"/>
        <w:rPr>
          <w:rFonts w:ascii="Times New Roman"/>
        </w:rPr>
      </w:pPr>
      <w:r>
        <w:rPr>
          <w:rFonts w:hint="eastAsia" w:ascii="Times New Roman"/>
        </w:rPr>
        <w:t>本文件</w:t>
      </w:r>
      <w:r>
        <w:rPr>
          <w:rFonts w:ascii="Times New Roman"/>
        </w:rPr>
        <w:t>规定了</w:t>
      </w:r>
      <w:r>
        <w:rPr>
          <w:rFonts w:hint="eastAsia" w:ascii="Times New Roman"/>
        </w:rPr>
        <w:t>球床式高温气冷堆（以下简称：高温气冷堆）核动力厂高温设备</w:t>
      </w:r>
      <w:r>
        <w:rPr>
          <w:rFonts w:hint="eastAsia"/>
        </w:rPr>
        <w:t>建造与安装</w:t>
      </w:r>
      <w:r>
        <w:t>中</w:t>
      </w:r>
      <w:r>
        <w:rPr>
          <w:rFonts w:hint="eastAsia"/>
        </w:rPr>
        <w:t>焊接的通用要求。</w:t>
      </w:r>
    </w:p>
    <w:p w14:paraId="2F88B03C">
      <w:pPr>
        <w:pStyle w:val="27"/>
      </w:pPr>
      <w:r>
        <w:rPr>
          <w:rFonts w:ascii="Times New Roman"/>
        </w:rPr>
        <w:t>本</w:t>
      </w:r>
      <w:r>
        <w:rPr>
          <w:rFonts w:hint="eastAsia" w:ascii="Times New Roman"/>
        </w:rPr>
        <w:t>文件</w:t>
      </w:r>
      <w:r>
        <w:rPr>
          <w:rFonts w:ascii="Times New Roman"/>
        </w:rPr>
        <w:t>适用于高温气冷堆核</w:t>
      </w:r>
      <w:r>
        <w:rPr>
          <w:rFonts w:hint="eastAsia" w:ascii="Times New Roman"/>
        </w:rPr>
        <w:t>动力</w:t>
      </w:r>
      <w:r>
        <w:rPr>
          <w:rFonts w:ascii="Times New Roman"/>
        </w:rPr>
        <w:t>厂</w:t>
      </w:r>
      <w:r>
        <w:t>碳钢、合金钢和奥氏体不锈钢材质的核级</w:t>
      </w:r>
      <w:r>
        <w:rPr>
          <w:rFonts w:hint="eastAsia"/>
        </w:rPr>
        <w:t>高温</w:t>
      </w:r>
      <w:r>
        <w:t>部件</w:t>
      </w:r>
      <w:r>
        <w:rPr>
          <w:rFonts w:ascii="Times New Roman"/>
        </w:rPr>
        <w:t>。</w:t>
      </w:r>
    </w:p>
    <w:p w14:paraId="6EC11B53">
      <w:pPr>
        <w:pStyle w:val="48"/>
        <w:rPr>
          <w:szCs w:val="21"/>
        </w:rPr>
      </w:pPr>
      <w:bookmarkStart w:id="15" w:name="_Toc20302070"/>
      <w:bookmarkStart w:id="16" w:name="_Toc20301580"/>
      <w:bookmarkStart w:id="17" w:name="_Toc234486087"/>
      <w:r>
        <w:rPr>
          <w:rFonts w:hint="eastAsia"/>
          <w:szCs w:val="21"/>
        </w:rPr>
        <w:t>规范性引用文件</w:t>
      </w:r>
      <w:bookmarkEnd w:id="15"/>
      <w:bookmarkEnd w:id="16"/>
      <w:bookmarkEnd w:id="17"/>
    </w:p>
    <w:p w14:paraId="59DDB8DC">
      <w:pPr>
        <w:pStyle w:val="27"/>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4DBFD7F2">
      <w:pPr>
        <w:pStyle w:val="27"/>
      </w:pPr>
      <w:r>
        <w:rPr>
          <w:rFonts w:hint="eastAsia"/>
        </w:rPr>
        <w:t>G</w:t>
      </w:r>
      <w:r>
        <w:t xml:space="preserve">B/T 2039 </w:t>
      </w:r>
      <w:r>
        <w:rPr>
          <w:rFonts w:hint="eastAsia"/>
        </w:rPr>
        <w:t>金属材料 单轴拉伸蠕变试验方法</w:t>
      </w:r>
    </w:p>
    <w:p w14:paraId="037DF029">
      <w:pPr>
        <w:pStyle w:val="27"/>
      </w:pPr>
      <w:r>
        <w:rPr>
          <w:rFonts w:hint="eastAsia"/>
        </w:rPr>
        <w:t>ASME BPVC 美国机械工程师学会 锅炉和压力容器规范（2004版）(ASME</w:t>
      </w:r>
      <w:r>
        <w:t xml:space="preserve"> BOILER &amp; PRESSURE VESSEL CODE</w:t>
      </w:r>
      <w:r>
        <w:rPr>
          <w:rFonts w:hint="eastAsia"/>
        </w:rPr>
        <w:t xml:space="preserve">)  </w:t>
      </w:r>
    </w:p>
    <w:p w14:paraId="36B85C98">
      <w:pPr>
        <w:pStyle w:val="27"/>
      </w:pPr>
      <w:r>
        <w:rPr>
          <w:rFonts w:hint="eastAsia"/>
        </w:rPr>
        <w:t xml:space="preserve">第Ⅱ卷 材料 C篇 焊条、焊丝及填充金属 </w:t>
      </w:r>
      <w:r>
        <w:t>(</w:t>
      </w:r>
      <w:r>
        <w:rPr>
          <w:rFonts w:hint="eastAsia"/>
        </w:rPr>
        <w:t>Materials</w:t>
      </w:r>
      <w:r>
        <w:t xml:space="preserve"> </w:t>
      </w:r>
      <w:r>
        <w:rPr>
          <w:rFonts w:hint="eastAsia"/>
        </w:rPr>
        <w:t>Part</w:t>
      </w:r>
      <w:r>
        <w:t xml:space="preserve"> </w:t>
      </w:r>
      <w:r>
        <w:rPr>
          <w:rFonts w:hint="eastAsia"/>
        </w:rPr>
        <w:t>C</w:t>
      </w:r>
      <w:r>
        <w:t>-</w:t>
      </w:r>
      <w:r>
        <w:rPr>
          <w:rFonts w:hint="eastAsia"/>
        </w:rPr>
        <w:t>Specifications</w:t>
      </w:r>
      <w:r>
        <w:t xml:space="preserve"> </w:t>
      </w:r>
      <w:r>
        <w:rPr>
          <w:rFonts w:hint="eastAsia"/>
        </w:rPr>
        <w:t>for</w:t>
      </w:r>
      <w:r>
        <w:t xml:space="preserve"> </w:t>
      </w:r>
      <w:r>
        <w:rPr>
          <w:rFonts w:hint="eastAsia"/>
        </w:rPr>
        <w:t>Welding</w:t>
      </w:r>
      <w:r>
        <w:t xml:space="preserve"> </w:t>
      </w:r>
      <w:r>
        <w:rPr>
          <w:rFonts w:hint="eastAsia"/>
        </w:rPr>
        <w:t>Rods</w:t>
      </w:r>
      <w:r>
        <w:t xml:space="preserve">, </w:t>
      </w:r>
      <w:r>
        <w:rPr>
          <w:rFonts w:hint="eastAsia"/>
        </w:rPr>
        <w:t>E</w:t>
      </w:r>
      <w:r>
        <w:t>l</w:t>
      </w:r>
      <w:r>
        <w:rPr>
          <w:rFonts w:hint="eastAsia"/>
        </w:rPr>
        <w:t>ectrodes</w:t>
      </w:r>
      <w:r>
        <w:t xml:space="preserve">, </w:t>
      </w:r>
      <w:r>
        <w:rPr>
          <w:rFonts w:hint="eastAsia"/>
        </w:rPr>
        <w:t>and</w:t>
      </w:r>
      <w:r>
        <w:t xml:space="preserve"> </w:t>
      </w:r>
      <w:r>
        <w:rPr>
          <w:rFonts w:hint="eastAsia"/>
        </w:rPr>
        <w:t>Filler</w:t>
      </w:r>
      <w:r>
        <w:t xml:space="preserve"> </w:t>
      </w:r>
      <w:r>
        <w:rPr>
          <w:rFonts w:hint="eastAsia"/>
        </w:rPr>
        <w:t>Metals)</w:t>
      </w:r>
    </w:p>
    <w:p w14:paraId="5AD43288">
      <w:pPr>
        <w:pStyle w:val="27"/>
      </w:pPr>
      <w:r>
        <w:rPr>
          <w:rFonts w:hint="eastAsia"/>
        </w:rPr>
        <w:t>第Ⅲ卷 核设施部件建造规则 第Ⅰ册 (Rules</w:t>
      </w:r>
      <w:r>
        <w:t xml:space="preserve"> </w:t>
      </w:r>
      <w:r>
        <w:rPr>
          <w:rFonts w:hint="eastAsia"/>
        </w:rPr>
        <w:t>for</w:t>
      </w:r>
      <w:r>
        <w:t xml:space="preserve"> </w:t>
      </w:r>
      <w:r>
        <w:rPr>
          <w:rFonts w:hint="eastAsia"/>
        </w:rPr>
        <w:t>Construction</w:t>
      </w:r>
      <w:r>
        <w:t xml:space="preserve"> </w:t>
      </w:r>
      <w:r>
        <w:rPr>
          <w:rFonts w:hint="eastAsia"/>
        </w:rPr>
        <w:t>of</w:t>
      </w:r>
      <w:r>
        <w:t xml:space="preserve"> </w:t>
      </w:r>
      <w:r>
        <w:rPr>
          <w:rFonts w:hint="eastAsia"/>
        </w:rPr>
        <w:t>Nuclear</w:t>
      </w:r>
      <w:r>
        <w:t xml:space="preserve"> </w:t>
      </w:r>
      <w:r>
        <w:rPr>
          <w:rFonts w:hint="eastAsia"/>
        </w:rPr>
        <w:t>Facility</w:t>
      </w:r>
      <w:r>
        <w:t xml:space="preserve"> </w:t>
      </w:r>
      <w:r>
        <w:rPr>
          <w:rFonts w:hint="eastAsia"/>
        </w:rPr>
        <w:t>Components</w:t>
      </w:r>
      <w:r>
        <w:t xml:space="preserve"> </w:t>
      </w:r>
      <w:r>
        <w:rPr>
          <w:rFonts w:hint="eastAsia"/>
        </w:rPr>
        <w:t>Division</w:t>
      </w:r>
      <w:r>
        <w:t xml:space="preserve"> 1</w:t>
      </w:r>
      <w:r>
        <w:rPr>
          <w:rFonts w:hint="eastAsia"/>
        </w:rPr>
        <w:t>)</w:t>
      </w:r>
    </w:p>
    <w:p w14:paraId="50AB6E9A">
      <w:pPr>
        <w:pStyle w:val="27"/>
        <w:ind w:firstLine="840" w:firstLineChars="400"/>
      </w:pPr>
      <w:r>
        <w:rPr>
          <w:rFonts w:hint="eastAsia"/>
        </w:rPr>
        <w:t>NB分卷 1级部件  (Class</w:t>
      </w:r>
      <w:r>
        <w:t xml:space="preserve"> 1 </w:t>
      </w:r>
      <w:r>
        <w:rPr>
          <w:rFonts w:hint="eastAsia"/>
        </w:rPr>
        <w:t>Components)</w:t>
      </w:r>
    </w:p>
    <w:p w14:paraId="25B1B60A">
      <w:pPr>
        <w:pStyle w:val="27"/>
        <w:ind w:firstLine="840" w:firstLineChars="400"/>
      </w:pPr>
      <w:r>
        <w:rPr>
          <w:rFonts w:hint="eastAsia"/>
        </w:rPr>
        <w:t>NC分卷 2级部件  (Class</w:t>
      </w:r>
      <w:r>
        <w:t xml:space="preserve"> 2 </w:t>
      </w:r>
      <w:r>
        <w:rPr>
          <w:rFonts w:hint="eastAsia"/>
        </w:rPr>
        <w:t>Components)</w:t>
      </w:r>
    </w:p>
    <w:p w14:paraId="071A85F2">
      <w:pPr>
        <w:pStyle w:val="27"/>
        <w:ind w:firstLine="840" w:firstLineChars="400"/>
      </w:pPr>
      <w:r>
        <w:rPr>
          <w:rFonts w:hint="eastAsia"/>
        </w:rPr>
        <w:t xml:space="preserve">ND分卷 3级部件 </w:t>
      </w:r>
      <w:r>
        <w:t xml:space="preserve"> </w:t>
      </w:r>
      <w:r>
        <w:rPr>
          <w:rFonts w:hint="eastAsia"/>
        </w:rPr>
        <w:t>(Class</w:t>
      </w:r>
      <w:r>
        <w:t xml:space="preserve"> 3 </w:t>
      </w:r>
      <w:r>
        <w:rPr>
          <w:rFonts w:hint="eastAsia"/>
        </w:rPr>
        <w:t>Components)</w:t>
      </w:r>
    </w:p>
    <w:p w14:paraId="1718F255">
      <w:pPr>
        <w:pStyle w:val="27"/>
        <w:ind w:firstLine="840" w:firstLineChars="400"/>
      </w:pPr>
      <w:r>
        <w:rPr>
          <w:rFonts w:hint="eastAsia"/>
        </w:rPr>
        <w:t xml:space="preserve">NF分卷 支撑件 </w:t>
      </w:r>
      <w:r>
        <w:t xml:space="preserve">  </w:t>
      </w:r>
      <w:r>
        <w:rPr>
          <w:rFonts w:hint="eastAsia"/>
        </w:rPr>
        <w:t>(</w:t>
      </w:r>
      <w:r>
        <w:t>Supports</w:t>
      </w:r>
      <w:r>
        <w:rPr>
          <w:rFonts w:hint="eastAsia"/>
        </w:rPr>
        <w:t>)</w:t>
      </w:r>
    </w:p>
    <w:p w14:paraId="60BCF97E">
      <w:pPr>
        <w:pStyle w:val="27"/>
      </w:pPr>
      <w:r>
        <w:rPr>
          <w:rFonts w:hint="eastAsia"/>
        </w:rPr>
        <w:t xml:space="preserve">第V卷 无损检测 </w:t>
      </w:r>
      <w:r>
        <w:t xml:space="preserve">    </w:t>
      </w:r>
      <w:r>
        <w:rPr>
          <w:rFonts w:hint="eastAsia"/>
        </w:rPr>
        <w:t xml:space="preserve"> </w:t>
      </w:r>
      <w:r>
        <w:t>(Nondestructive Examination)</w:t>
      </w:r>
    </w:p>
    <w:p w14:paraId="143E8F8B">
      <w:pPr>
        <w:pStyle w:val="27"/>
      </w:pPr>
      <w:r>
        <w:rPr>
          <w:rFonts w:hint="eastAsia"/>
        </w:rPr>
        <w:t xml:space="preserve">第Ⅸ卷 焊接和钎接评定  </w:t>
      </w:r>
      <w:r>
        <w:t>(Welding and Brazing Qualifications)</w:t>
      </w:r>
    </w:p>
    <w:p w14:paraId="71E1BE08">
      <w:pPr>
        <w:pStyle w:val="27"/>
      </w:pPr>
    </w:p>
    <w:p w14:paraId="3FD155CB">
      <w:pPr>
        <w:pStyle w:val="48"/>
        <w:rPr>
          <w:szCs w:val="21"/>
        </w:rPr>
      </w:pPr>
      <w:bookmarkStart w:id="18" w:name="_Toc234486088"/>
      <w:bookmarkStart w:id="19" w:name="_Toc102538246"/>
      <w:bookmarkStart w:id="20" w:name="_Toc183773236"/>
      <w:bookmarkStart w:id="21" w:name="_Toc172634459"/>
      <w:r>
        <w:rPr>
          <w:rFonts w:hint="eastAsia"/>
          <w:szCs w:val="21"/>
        </w:rPr>
        <w:t>术语和定义</w:t>
      </w:r>
      <w:bookmarkEnd w:id="18"/>
    </w:p>
    <w:p w14:paraId="7EAF47C5">
      <w:pPr>
        <w:pStyle w:val="27"/>
      </w:pPr>
      <w:r>
        <w:rPr>
          <w:rFonts w:hint="eastAsia"/>
        </w:rPr>
        <w:t>G</w:t>
      </w:r>
      <w:r>
        <w:t>B/T3375</w:t>
      </w:r>
      <w:r>
        <w:rPr>
          <w:rFonts w:hint="eastAsia"/>
        </w:rPr>
        <w:t>界定的以及下列术语和定义使用于本部分。</w:t>
      </w:r>
    </w:p>
    <w:p w14:paraId="034CA4C4">
      <w:pPr>
        <w:pStyle w:val="45"/>
        <w:keepNext w:val="0"/>
        <w:keepLines w:val="0"/>
        <w:pageBreakBefore w:val="0"/>
        <w:widowControl/>
        <w:kinsoku/>
        <w:wordWrap/>
        <w:overflowPunct/>
        <w:topLinePunct w:val="0"/>
        <w:autoSpaceDE/>
        <w:autoSpaceDN/>
        <w:bidi w:val="0"/>
        <w:adjustRightInd/>
        <w:snapToGrid/>
        <w:spacing w:before="0" w:beforeLines="0" w:after="0" w:afterLines="0" w:line="120" w:lineRule="auto"/>
        <w:ind w:left="0"/>
        <w:textAlignment w:val="auto"/>
      </w:pPr>
      <w:bookmarkStart w:id="22" w:name="_Toc234486089"/>
    </w:p>
    <w:p w14:paraId="0A519510">
      <w:pPr>
        <w:pStyle w:val="45"/>
        <w:keepNext w:val="0"/>
        <w:keepLines w:val="0"/>
        <w:pageBreakBefore w:val="0"/>
        <w:widowControl/>
        <w:numPr>
          <w:numId w:val="0"/>
        </w:numPr>
        <w:kinsoku/>
        <w:wordWrap/>
        <w:overflowPunct/>
        <w:topLinePunct w:val="0"/>
        <w:autoSpaceDE/>
        <w:autoSpaceDN/>
        <w:bidi w:val="0"/>
        <w:adjustRightInd/>
        <w:snapToGrid/>
        <w:spacing w:before="0" w:beforeLines="0" w:after="0" w:afterLines="0" w:line="120" w:lineRule="auto"/>
        <w:ind w:leftChars="0" w:firstLine="420" w:firstLineChars="200"/>
        <w:textAlignment w:val="auto"/>
        <w:rPr>
          <w:rFonts w:hint="default" w:ascii="Times New Roman" w:hAnsi="Times New Roman" w:eastAsia="TimesNewRoman,Bold" w:cs="Times New Roman"/>
          <w:b w:val="0"/>
          <w:bCs w:val="0"/>
        </w:rPr>
      </w:pPr>
      <w:r>
        <w:rPr>
          <w:rFonts w:hint="eastAsia"/>
        </w:rPr>
        <w:t>焊接工艺评定</w:t>
      </w:r>
      <w:r>
        <w:rPr>
          <w:rFonts w:hint="eastAsia"/>
          <w:lang w:val="en-US" w:eastAsia="zh-CN"/>
        </w:rPr>
        <w:t xml:space="preserve"> </w:t>
      </w:r>
      <w:r>
        <w:rPr>
          <w:rFonts w:hint="eastAsia"/>
        </w:rPr>
        <w:t xml:space="preserve"> </w:t>
      </w:r>
      <w:r>
        <w:rPr>
          <w:rFonts w:hint="default" w:ascii="Times New Roman" w:hAnsi="Times New Roman" w:eastAsia="TimesNewRoman,Bold" w:cs="Times New Roman"/>
          <w:b w:val="0"/>
          <w:bCs w:val="0"/>
        </w:rPr>
        <w:t>welding procedure qualification</w:t>
      </w:r>
      <w:bookmarkEnd w:id="22"/>
    </w:p>
    <w:p w14:paraId="0A4731C5">
      <w:pPr>
        <w:pStyle w:val="27"/>
      </w:pPr>
      <w:r>
        <w:rPr>
          <w:rFonts w:hint="eastAsia"/>
        </w:rPr>
        <w:t>为验证所拟定的焊件焊接工艺的正确性二进行的试验过程及结果评价。</w:t>
      </w:r>
    </w:p>
    <w:p w14:paraId="69F53A47">
      <w:pPr>
        <w:widowControl/>
        <w:ind w:firstLine="420" w:firstLineChars="200"/>
        <w:jc w:val="left"/>
      </w:pPr>
      <w:r>
        <w:rPr>
          <w:rFonts w:ascii="FZShuSong-Z01S" w:hAnsi="FZShuSong-Z01S" w:cs="宋体"/>
          <w:color w:val="000000"/>
          <w:kern w:val="0"/>
          <w:szCs w:val="21"/>
        </w:rPr>
        <w:t xml:space="preserve">在本文件中，焊接工艺评定指按 </w:t>
      </w:r>
      <w:r>
        <w:rPr>
          <w:color w:val="000000"/>
          <w:kern w:val="0"/>
          <w:szCs w:val="21"/>
        </w:rPr>
        <w:t xml:space="preserve">pWPS </w:t>
      </w:r>
      <w:r>
        <w:rPr>
          <w:rFonts w:ascii="FZShuSong-Z01S" w:hAnsi="FZShuSong-Z01S" w:cs="宋体"/>
          <w:color w:val="000000"/>
          <w:kern w:val="0"/>
          <w:szCs w:val="21"/>
        </w:rPr>
        <w:t>施焊的焊接接头力学性能、弯曲性能等或耐蚀堆焊层化</w:t>
      </w:r>
      <w:r>
        <w:rPr>
          <w:rFonts w:ascii="FZShuSong-Z01S" w:hAnsi="FZShuSong-Z01S" w:cs="宋体"/>
          <w:color w:val="000000"/>
          <w:szCs w:val="21"/>
        </w:rPr>
        <w:t>学成分、耐蚀性能、堆焊件弯曲性能是否符合规定，对</w:t>
      </w:r>
      <w:r>
        <w:rPr>
          <w:color w:val="000000"/>
          <w:szCs w:val="21"/>
        </w:rPr>
        <w:t xml:space="preserve">pWPS </w:t>
      </w:r>
      <w:r>
        <w:rPr>
          <w:rFonts w:ascii="FZShuSong-Z01S" w:hAnsi="FZShuSong-Z01S" w:cs="宋体"/>
          <w:color w:val="000000"/>
          <w:szCs w:val="21"/>
        </w:rPr>
        <w:t>进行验证性试验和结果评价的过程。</w:t>
      </w:r>
    </w:p>
    <w:p w14:paraId="08158B9C">
      <w:pPr>
        <w:pStyle w:val="45"/>
        <w:keepNext w:val="0"/>
        <w:keepLines w:val="0"/>
        <w:pageBreakBefore w:val="0"/>
        <w:widowControl/>
        <w:kinsoku/>
        <w:wordWrap/>
        <w:overflowPunct/>
        <w:topLinePunct w:val="0"/>
        <w:autoSpaceDE/>
        <w:autoSpaceDN/>
        <w:bidi w:val="0"/>
        <w:adjustRightInd/>
        <w:snapToGrid/>
        <w:spacing w:before="0" w:beforeLines="0" w:after="0" w:afterLines="0"/>
        <w:ind w:left="0"/>
        <w:textAlignment w:val="auto"/>
      </w:pPr>
      <w:bookmarkStart w:id="23" w:name="_Toc234486090"/>
    </w:p>
    <w:p w14:paraId="2E569A19">
      <w:pPr>
        <w:pStyle w:val="45"/>
        <w:keepNext w:val="0"/>
        <w:keepLines w:val="0"/>
        <w:pageBreakBefore w:val="0"/>
        <w:widowControl/>
        <w:numPr>
          <w:numId w:val="0"/>
        </w:numPr>
        <w:kinsoku/>
        <w:wordWrap/>
        <w:overflowPunct/>
        <w:topLinePunct w:val="0"/>
        <w:autoSpaceDE/>
        <w:autoSpaceDN/>
        <w:bidi w:val="0"/>
        <w:adjustRightInd/>
        <w:snapToGrid/>
        <w:spacing w:before="0" w:beforeLines="0" w:after="0" w:afterLines="0"/>
        <w:ind w:leftChars="0" w:firstLine="420" w:firstLineChars="200"/>
        <w:textAlignment w:val="auto"/>
      </w:pPr>
      <w:r>
        <w:rPr>
          <w:rFonts w:hint="eastAsia"/>
        </w:rPr>
        <w:t>预焊接工艺规程</w:t>
      </w:r>
      <w:r>
        <w:rPr>
          <w:rFonts w:hint="eastAsia"/>
          <w:lang w:val="en-US" w:eastAsia="zh-CN"/>
        </w:rPr>
        <w:t xml:space="preserve"> </w:t>
      </w:r>
      <w:r>
        <w:rPr>
          <w:rFonts w:hint="eastAsia"/>
        </w:rPr>
        <w:t xml:space="preserve">（ </w:t>
      </w:r>
      <w:r>
        <w:rPr>
          <w:rFonts w:hint="default" w:ascii="Times New Roman" w:hAnsi="Times New Roman" w:eastAsia="TimesNewRoman,Bold" w:cs="Times New Roman"/>
          <w:b w:val="0"/>
          <w:bCs w:val="0"/>
        </w:rPr>
        <w:t>preliminary welding procedure specification</w:t>
      </w:r>
      <w:bookmarkEnd w:id="23"/>
      <w:r>
        <w:rPr>
          <w:rFonts w:hint="eastAsia" w:ascii="Times New Roman" w:hAnsi="Times New Roman" w:eastAsia="TimesNewRoman,Bold" w:cs="Times New Roman"/>
          <w:b w:val="0"/>
          <w:bCs w:val="0"/>
          <w:lang w:eastAsia="zh-CN"/>
        </w:rPr>
        <w:t>，</w:t>
      </w:r>
      <w:r>
        <w:rPr>
          <w:rFonts w:hint="eastAsia" w:ascii="Times New Roman" w:hAnsi="Times New Roman" w:eastAsia="TimesNewRoman,Bold" w:cs="Times New Roman"/>
          <w:b w:val="0"/>
          <w:bCs w:val="0"/>
        </w:rPr>
        <w:t>p</w:t>
      </w:r>
      <w:r>
        <w:rPr>
          <w:rFonts w:hint="default" w:ascii="Times New Roman" w:hAnsi="Times New Roman" w:eastAsia="TimesNewRoman,Bold" w:cs="Times New Roman"/>
          <w:b w:val="0"/>
          <w:bCs w:val="0"/>
        </w:rPr>
        <w:t>WPS</w:t>
      </w:r>
      <w:r>
        <w:rPr>
          <w:rFonts w:hint="eastAsia"/>
        </w:rPr>
        <w:t>）</w:t>
      </w:r>
    </w:p>
    <w:p w14:paraId="7DBD2145">
      <w:pPr>
        <w:pStyle w:val="27"/>
      </w:pPr>
      <w:r>
        <w:rPr>
          <w:rFonts w:hint="eastAsia"/>
        </w:rPr>
        <w:t>为进行焊接工艺评定所拟定的焊接工艺文件。</w:t>
      </w:r>
    </w:p>
    <w:p w14:paraId="32FF44A8">
      <w:pPr>
        <w:pStyle w:val="45"/>
        <w:keepNext w:val="0"/>
        <w:keepLines w:val="0"/>
        <w:pageBreakBefore w:val="0"/>
        <w:widowControl/>
        <w:kinsoku/>
        <w:wordWrap/>
        <w:overflowPunct/>
        <w:topLinePunct w:val="0"/>
        <w:autoSpaceDE/>
        <w:autoSpaceDN/>
        <w:bidi w:val="0"/>
        <w:adjustRightInd/>
        <w:snapToGrid/>
        <w:spacing w:before="0" w:beforeLines="0" w:after="0" w:afterLines="0"/>
        <w:ind w:left="0"/>
        <w:textAlignment w:val="auto"/>
      </w:pPr>
      <w:bookmarkStart w:id="24" w:name="_Toc234486091"/>
    </w:p>
    <w:p w14:paraId="3EF63107">
      <w:pPr>
        <w:pStyle w:val="45"/>
        <w:keepNext w:val="0"/>
        <w:keepLines w:val="0"/>
        <w:pageBreakBefore w:val="0"/>
        <w:widowControl/>
        <w:numPr>
          <w:numId w:val="0"/>
        </w:numPr>
        <w:kinsoku/>
        <w:wordWrap/>
        <w:overflowPunct/>
        <w:topLinePunct w:val="0"/>
        <w:autoSpaceDE/>
        <w:autoSpaceDN/>
        <w:bidi w:val="0"/>
        <w:adjustRightInd/>
        <w:snapToGrid/>
        <w:spacing w:before="0" w:beforeLines="0" w:after="0" w:afterLines="0"/>
        <w:ind w:leftChars="0" w:firstLine="420" w:firstLineChars="200"/>
        <w:textAlignment w:val="auto"/>
      </w:pPr>
      <w:r>
        <w:rPr>
          <w:rFonts w:hint="eastAsia" w:hAnsi="黑体" w:cs="宋体"/>
          <w:color w:val="000000"/>
        </w:rPr>
        <w:t>焊接工艺评定报告</w:t>
      </w:r>
      <w:r>
        <w:rPr>
          <w:rFonts w:hint="eastAsia" w:hAnsi="黑体" w:cs="宋体"/>
          <w:color w:val="000000"/>
          <w:lang w:val="en-US" w:eastAsia="zh-CN"/>
        </w:rPr>
        <w:t xml:space="preserve"> </w:t>
      </w:r>
      <w:r>
        <w:rPr>
          <w:rFonts w:ascii="FZShuSong-Z01S" w:hAnsi="FZShuSong-Z01S" w:cs="宋体"/>
          <w:color w:val="000000"/>
        </w:rPr>
        <w:t>（</w:t>
      </w:r>
      <w:r>
        <w:rPr>
          <w:rFonts w:hint="default" w:ascii="Times New Roman" w:hAnsi="Times New Roman" w:eastAsia="TimesNewRoman,Bold" w:cs="Times New Roman"/>
          <w:b w:val="0"/>
          <w:bCs w:val="0"/>
        </w:rPr>
        <w:t>procedure qualification record</w:t>
      </w:r>
      <w:bookmarkEnd w:id="24"/>
      <w:r>
        <w:rPr>
          <w:rFonts w:hint="default" w:ascii="Times New Roman" w:hAnsi="Times New Roman" w:eastAsia="TimesNewRoman,Bold" w:cs="Times New Roman"/>
          <w:b w:val="0"/>
          <w:bCs w:val="0"/>
          <w:lang w:eastAsia="zh-CN"/>
        </w:rPr>
        <w:t>，</w:t>
      </w:r>
      <w:r>
        <w:rPr>
          <w:rFonts w:hint="default" w:ascii="Times New Roman" w:hAnsi="Times New Roman" w:cs="Times New Roman"/>
          <w:b w:val="0"/>
          <w:bCs w:val="0"/>
          <w:color w:val="000000"/>
        </w:rPr>
        <w:t>PQR</w:t>
      </w:r>
      <w:r>
        <w:rPr>
          <w:rFonts w:ascii="FZShuSong-Z01S" w:hAnsi="FZShuSong-Z01S" w:cs="宋体"/>
          <w:color w:val="000000"/>
        </w:rPr>
        <w:t>）</w:t>
      </w:r>
    </w:p>
    <w:p w14:paraId="435713D4">
      <w:pPr>
        <w:pStyle w:val="27"/>
      </w:pPr>
      <w:bookmarkStart w:id="25" w:name="_Toc221701971"/>
      <w:r>
        <w:rPr>
          <w:rFonts w:ascii="FZShuSong-Z01S" w:hAnsi="FZShuSong-Z01S" w:cs="宋体"/>
          <w:color w:val="000000"/>
        </w:rPr>
        <w:t xml:space="preserve">记载验证性试验及其检验结果，对拟定的 </w:t>
      </w:r>
      <w:r>
        <w:rPr>
          <w:rFonts w:ascii="Times New Roman"/>
          <w:color w:val="000000"/>
        </w:rPr>
        <w:t xml:space="preserve">pWPS </w:t>
      </w:r>
      <w:r>
        <w:rPr>
          <w:rFonts w:ascii="FZShuSong-Z01S" w:hAnsi="FZShuSong-Z01S" w:cs="宋体"/>
          <w:color w:val="000000"/>
        </w:rPr>
        <w:t>进行评价的报告。</w:t>
      </w:r>
      <w:bookmarkEnd w:id="25"/>
    </w:p>
    <w:p w14:paraId="27A5BD40">
      <w:pPr>
        <w:pStyle w:val="45"/>
        <w:keepNext w:val="0"/>
        <w:keepLines w:val="0"/>
        <w:pageBreakBefore w:val="0"/>
        <w:widowControl/>
        <w:kinsoku/>
        <w:wordWrap/>
        <w:overflowPunct/>
        <w:topLinePunct w:val="0"/>
        <w:autoSpaceDE/>
        <w:autoSpaceDN/>
        <w:bidi w:val="0"/>
        <w:adjustRightInd/>
        <w:snapToGrid/>
        <w:spacing w:before="0" w:beforeLines="0" w:after="0" w:afterLines="0"/>
        <w:ind w:left="0"/>
        <w:textAlignment w:val="auto"/>
      </w:pPr>
      <w:bookmarkStart w:id="26" w:name="_Toc234486092"/>
    </w:p>
    <w:p w14:paraId="65A50899">
      <w:pPr>
        <w:pStyle w:val="45"/>
        <w:keepNext w:val="0"/>
        <w:keepLines w:val="0"/>
        <w:pageBreakBefore w:val="0"/>
        <w:widowControl/>
        <w:numPr>
          <w:numId w:val="0"/>
        </w:numPr>
        <w:kinsoku/>
        <w:wordWrap/>
        <w:overflowPunct/>
        <w:topLinePunct w:val="0"/>
        <w:autoSpaceDE/>
        <w:autoSpaceDN/>
        <w:bidi w:val="0"/>
        <w:adjustRightInd/>
        <w:snapToGrid/>
        <w:spacing w:before="0" w:beforeLines="0" w:after="0" w:afterLines="0"/>
        <w:ind w:leftChars="0" w:firstLine="420" w:firstLineChars="200"/>
        <w:textAlignment w:val="auto"/>
      </w:pPr>
      <w:r>
        <w:rPr>
          <w:rFonts w:hint="eastAsia"/>
        </w:rPr>
        <w:t>焊接工艺规程</w:t>
      </w:r>
      <w:r>
        <w:rPr>
          <w:rFonts w:hint="eastAsia"/>
          <w:lang w:val="en-US" w:eastAsia="zh-CN"/>
        </w:rPr>
        <w:t xml:space="preserve"> </w:t>
      </w:r>
      <w:r>
        <w:rPr>
          <w:rFonts w:hint="eastAsia"/>
        </w:rPr>
        <w:t xml:space="preserve">（ </w:t>
      </w:r>
      <w:r>
        <w:rPr>
          <w:rFonts w:hint="default" w:ascii="Times New Roman" w:hAnsi="Times New Roman" w:eastAsia="TimesNewRoman,Bold" w:cs="Times New Roman"/>
          <w:b w:val="0"/>
          <w:bCs w:val="0"/>
        </w:rPr>
        <w:t>welding procedure specification</w:t>
      </w:r>
      <w:bookmarkEnd w:id="26"/>
      <w:r>
        <w:rPr>
          <w:rFonts w:hint="eastAsia" w:ascii="Times New Roman" w:hAnsi="Times New Roman" w:eastAsia="TimesNewRoman,Bold" w:cs="Times New Roman"/>
          <w:b w:val="0"/>
          <w:bCs w:val="0"/>
          <w:lang w:eastAsia="zh-CN"/>
        </w:rPr>
        <w:t>，</w:t>
      </w:r>
      <w:r>
        <w:rPr>
          <w:rFonts w:hint="eastAsia" w:ascii="Times New Roman" w:hAnsi="Times New Roman" w:eastAsia="TimesNewRoman,Bold" w:cs="Times New Roman"/>
          <w:b w:val="0"/>
          <w:bCs w:val="0"/>
        </w:rPr>
        <w:t>W</w:t>
      </w:r>
      <w:r>
        <w:rPr>
          <w:rFonts w:hint="default" w:ascii="Times New Roman" w:hAnsi="Times New Roman" w:eastAsia="TimesNewRoman,Bold" w:cs="Times New Roman"/>
          <w:b w:val="0"/>
          <w:bCs w:val="0"/>
        </w:rPr>
        <w:t>PS</w:t>
      </w:r>
      <w:r>
        <w:rPr>
          <w:rFonts w:hint="eastAsia" w:ascii="Times New Roman" w:hAnsi="Times New Roman" w:eastAsia="TimesNewRoman,Bold" w:cs="Times New Roman"/>
          <w:b w:val="0"/>
          <w:bCs w:val="0"/>
        </w:rPr>
        <w:t>）</w:t>
      </w:r>
    </w:p>
    <w:p w14:paraId="59B3B947">
      <w:pPr>
        <w:pStyle w:val="27"/>
      </w:pPr>
      <w:r>
        <w:rPr>
          <w:rFonts w:ascii="FZShuSong-Z01S" w:hAnsi="FZShuSong-Z01S"/>
          <w:color w:val="000000"/>
          <w:szCs w:val="21"/>
        </w:rPr>
        <w:t>根据合格的焊接工艺评定报告编制的，用于指导产品施焊的焊接工艺文件。</w:t>
      </w:r>
    </w:p>
    <w:p w14:paraId="5717AFCB">
      <w:pPr>
        <w:pStyle w:val="45"/>
        <w:ind w:left="0"/>
      </w:pPr>
      <w:bookmarkStart w:id="27" w:name="_Toc234486093"/>
      <w:bookmarkStart w:id="84" w:name="_GoBack"/>
    </w:p>
    <w:p w14:paraId="022DF9A3">
      <w:pPr>
        <w:pStyle w:val="45"/>
        <w:numPr>
          <w:numId w:val="0"/>
        </w:numPr>
        <w:ind w:leftChars="0" w:firstLine="420" w:firstLineChars="200"/>
      </w:pPr>
      <w:r>
        <w:rPr>
          <w:rFonts w:hint="eastAsia"/>
        </w:rPr>
        <w:t>高温</w:t>
      </w:r>
      <w:bookmarkEnd w:id="84"/>
      <w:r>
        <w:rPr>
          <w:rFonts w:hint="eastAsia"/>
        </w:rPr>
        <w:t>设备</w:t>
      </w:r>
      <w:r>
        <w:rPr>
          <w:rFonts w:hint="eastAsia"/>
          <w:lang w:val="en-US" w:eastAsia="zh-CN"/>
        </w:rPr>
        <w:t xml:space="preserve"> </w:t>
      </w:r>
      <w:r>
        <w:rPr>
          <w:rFonts w:hint="eastAsia" w:ascii="Times New Roman" w:hAnsi="Times New Roman" w:eastAsia="TimesNewRoman,Bold" w:cs="Times New Roman"/>
          <w:b w:val="0"/>
          <w:bCs w:val="0"/>
        </w:rPr>
        <w:t xml:space="preserve"> </w:t>
      </w:r>
      <w:r>
        <w:rPr>
          <w:rFonts w:hint="default" w:ascii="Times New Roman" w:hAnsi="Times New Roman" w:eastAsia="TimesNewRoman,Bold" w:cs="Times New Roman"/>
          <w:b w:val="0"/>
          <w:bCs w:val="0"/>
        </w:rPr>
        <w:t>high-temperature service</w:t>
      </w:r>
      <w:bookmarkEnd w:id="27"/>
    </w:p>
    <w:p w14:paraId="14DEA858">
      <w:pPr>
        <w:pStyle w:val="27"/>
      </w:pPr>
      <w:r>
        <w:rPr>
          <w:rFonts w:hint="eastAsia"/>
        </w:rPr>
        <w:t>高温设备指常规或事故条件下，碳钢、低合金钢、马氏体不锈钢超过370℃，奥氏体不锈钢、Ni-Cr-Fe合金、Ni-Cu合金超过425℃时工作的设备。</w:t>
      </w:r>
    </w:p>
    <w:p w14:paraId="30208954">
      <w:pPr>
        <w:pStyle w:val="45"/>
        <w:ind w:left="0"/>
      </w:pPr>
      <w:bookmarkStart w:id="28" w:name="_Toc234486094"/>
    </w:p>
    <w:p w14:paraId="2BB8CE97">
      <w:pPr>
        <w:pStyle w:val="45"/>
        <w:numPr>
          <w:numId w:val="0"/>
        </w:numPr>
        <w:ind w:leftChars="0" w:firstLine="420" w:firstLineChars="200"/>
      </w:pPr>
      <w:r>
        <w:rPr>
          <w:rFonts w:hint="eastAsia"/>
        </w:rPr>
        <w:t xml:space="preserve">高温拉伸试验 </w:t>
      </w:r>
      <w:r>
        <w:t xml:space="preserve"> </w:t>
      </w:r>
      <w:r>
        <w:rPr>
          <w:rFonts w:hint="eastAsia" w:ascii="Times New Roman" w:hAnsi="Times New Roman" w:eastAsia="TimesNewRoman,Bold" w:cs="Times New Roman"/>
          <w:b w:val="0"/>
          <w:bCs w:val="0"/>
        </w:rPr>
        <w:t>high-temperature tension test</w:t>
      </w:r>
      <w:bookmarkEnd w:id="28"/>
    </w:p>
    <w:p w14:paraId="4A7648C4">
      <w:pPr>
        <w:pStyle w:val="27"/>
      </w:pPr>
      <w:r>
        <w:rPr>
          <w:rFonts w:hint="eastAsia"/>
        </w:rPr>
        <w:t>指在高于室温的指定高温环境下，对材料试样施加单向拉伸载荷，直至试样断裂，以测定材料在该温度下的抗拉强度、屈服强度、断后伸长率、断面收缩率等力学性能指标的试验方法。</w:t>
      </w:r>
    </w:p>
    <w:p w14:paraId="792BB590">
      <w:pPr>
        <w:pStyle w:val="45"/>
        <w:ind w:left="0"/>
      </w:pPr>
      <w:bookmarkStart w:id="29" w:name="_Toc234486095"/>
    </w:p>
    <w:p w14:paraId="21131692">
      <w:pPr>
        <w:pStyle w:val="45"/>
        <w:numPr>
          <w:numId w:val="0"/>
        </w:numPr>
        <w:ind w:leftChars="0" w:firstLine="420" w:firstLineChars="200"/>
      </w:pPr>
      <w:r>
        <w:rPr>
          <w:rFonts w:hint="eastAsia"/>
        </w:rPr>
        <w:t xml:space="preserve">高温持久强度试验 </w:t>
      </w:r>
      <w:r>
        <w:rPr>
          <w:rFonts w:hint="eastAsia" w:ascii="Times New Roman" w:hAnsi="Times New Roman" w:eastAsia="TimesNewRoman,Bold" w:cs="Times New Roman"/>
          <w:b w:val="0"/>
          <w:bCs w:val="0"/>
        </w:rPr>
        <w:t xml:space="preserve"> stress-rupture test</w:t>
      </w:r>
      <w:bookmarkEnd w:id="29"/>
    </w:p>
    <w:p w14:paraId="01C29E9D">
      <w:pPr>
        <w:pStyle w:val="27"/>
      </w:pPr>
      <w:r>
        <w:rPr>
          <w:rFonts w:hint="eastAsia"/>
        </w:rPr>
        <w:t>在恒定高温下，对材料施加恒定载荷（通常为拉伸载荷），测定其在规定的持续时间内不发生断裂的最大应力（即持久强度）的试验。</w:t>
      </w:r>
    </w:p>
    <w:p w14:paraId="366463DA">
      <w:pPr>
        <w:pStyle w:val="45"/>
        <w:ind w:left="0"/>
      </w:pPr>
      <w:bookmarkStart w:id="30" w:name="_Toc234486096"/>
    </w:p>
    <w:p w14:paraId="4DDCAE48">
      <w:pPr>
        <w:pStyle w:val="45"/>
        <w:numPr>
          <w:numId w:val="0"/>
        </w:numPr>
        <w:ind w:leftChars="0" w:firstLine="420" w:firstLineChars="200"/>
        <w:rPr>
          <w:rFonts w:hint="eastAsia" w:ascii="Times New Roman" w:hAnsi="Times New Roman" w:eastAsia="TimesNewRoman,Bold" w:cs="Times New Roman"/>
          <w:b w:val="0"/>
          <w:bCs w:val="0"/>
        </w:rPr>
      </w:pPr>
      <w:r>
        <w:rPr>
          <w:rFonts w:hint="eastAsia"/>
        </w:rPr>
        <w:t>高温蠕变</w:t>
      </w:r>
      <w:r>
        <w:rPr>
          <w:rFonts w:hint="eastAsia"/>
          <w:lang w:val="en-US" w:eastAsia="zh-CN"/>
        </w:rPr>
        <w:t xml:space="preserve"> </w:t>
      </w:r>
      <w:r>
        <w:rPr>
          <w:rFonts w:hint="eastAsia" w:ascii="Times New Roman" w:hAnsi="Times New Roman" w:eastAsia="TimesNewRoman,Bold" w:cs="Times New Roman"/>
          <w:b w:val="0"/>
          <w:bCs w:val="0"/>
        </w:rPr>
        <w:t xml:space="preserve"> high-temperature creep</w:t>
      </w:r>
      <w:bookmarkEnd w:id="30"/>
    </w:p>
    <w:p w14:paraId="29768E4B">
      <w:pPr>
        <w:pStyle w:val="27"/>
      </w:pPr>
      <w:r>
        <w:rPr>
          <w:rFonts w:hint="eastAsia"/>
        </w:rPr>
        <w:t>指材料在恒定高温和远低于其瞬时强度的恒定应力（载荷）作用下，随着时间推移缓慢产生、并逐渐累积的塑性变形现象。</w:t>
      </w:r>
    </w:p>
    <w:p w14:paraId="525BE01A">
      <w:pPr>
        <w:pStyle w:val="45"/>
        <w:ind w:left="0"/>
      </w:pPr>
      <w:bookmarkStart w:id="31" w:name="_Toc234486097"/>
    </w:p>
    <w:p w14:paraId="30E306C2">
      <w:pPr>
        <w:pStyle w:val="45"/>
        <w:numPr>
          <w:numId w:val="0"/>
        </w:numPr>
        <w:ind w:leftChars="0" w:firstLine="420" w:firstLineChars="200"/>
        <w:rPr>
          <w:rFonts w:hint="eastAsia" w:ascii="Times New Roman" w:hAnsi="Times New Roman" w:eastAsia="TimesNewRoman,Bold" w:cs="Times New Roman"/>
          <w:b w:val="0"/>
          <w:bCs w:val="0"/>
        </w:rPr>
      </w:pPr>
      <w:r>
        <w:rPr>
          <w:rFonts w:hint="eastAsia"/>
        </w:rPr>
        <w:t>高温蠕变强度试验</w:t>
      </w:r>
      <w:r>
        <w:rPr>
          <w:rFonts w:hint="eastAsia"/>
          <w:lang w:val="en-US" w:eastAsia="zh-CN"/>
        </w:rPr>
        <w:t xml:space="preserve"> </w:t>
      </w:r>
      <w:r>
        <w:rPr>
          <w:rFonts w:hint="eastAsia"/>
        </w:rPr>
        <w:t xml:space="preserve"> </w:t>
      </w:r>
      <w:r>
        <w:rPr>
          <w:rFonts w:hint="eastAsia" w:ascii="Times New Roman" w:hAnsi="Times New Roman" w:eastAsia="TimesNewRoman,Bold" w:cs="Times New Roman"/>
          <w:b w:val="0"/>
          <w:bCs w:val="0"/>
        </w:rPr>
        <w:t>high-temperature creep strength test</w:t>
      </w:r>
      <w:bookmarkEnd w:id="31"/>
    </w:p>
    <w:p w14:paraId="695A4F55">
      <w:pPr>
        <w:pStyle w:val="27"/>
      </w:pPr>
      <w:r>
        <w:rPr>
          <w:rFonts w:hint="eastAsia"/>
        </w:rPr>
        <w:t>在恒定高温下，对试样施加恒定载荷，连续或周期性地测量应变随时间的变化，以获得材料的蠕变曲线、稳态蠕变速率以及蠕变极限等性能指标的试验。</w:t>
      </w:r>
    </w:p>
    <w:bookmarkEnd w:id="19"/>
    <w:bookmarkEnd w:id="20"/>
    <w:bookmarkEnd w:id="21"/>
    <w:p w14:paraId="1F49D327">
      <w:pPr>
        <w:pStyle w:val="48"/>
        <w:rPr>
          <w:szCs w:val="21"/>
        </w:rPr>
      </w:pPr>
      <w:bookmarkStart w:id="32" w:name="_Toc234486098"/>
      <w:r>
        <w:rPr>
          <w:rFonts w:hint="eastAsia"/>
          <w:szCs w:val="21"/>
        </w:rPr>
        <w:t>总则</w:t>
      </w:r>
      <w:bookmarkEnd w:id="32"/>
    </w:p>
    <w:p w14:paraId="01A1177B">
      <w:pPr>
        <w:pStyle w:val="45"/>
        <w:ind w:left="0"/>
      </w:pPr>
      <w:bookmarkStart w:id="33" w:name="_Toc234486099"/>
      <w:r>
        <w:rPr>
          <w:rFonts w:hint="eastAsia"/>
        </w:rPr>
        <w:t>焊接工艺评定</w:t>
      </w:r>
      <w:bookmarkEnd w:id="33"/>
    </w:p>
    <w:p w14:paraId="48C9F2CA">
      <w:pPr>
        <w:widowControl/>
        <w:ind w:firstLine="420" w:firstLineChars="200"/>
        <w:jc w:val="left"/>
        <w:rPr>
          <w:rFonts w:hint="eastAsia" w:ascii="FZShuSong-Z01S" w:hAnsi="FZShuSong-Z01S" w:cs="宋体"/>
          <w:color w:val="000000"/>
          <w:kern w:val="0"/>
          <w:szCs w:val="21"/>
        </w:rPr>
      </w:pPr>
      <w:r>
        <w:rPr>
          <w:rFonts w:hint="eastAsia"/>
        </w:rPr>
        <w:t>焊接工艺评定应符合ASME IX卷、ASME III卷和专用技术条件（若有）的规定。</w:t>
      </w:r>
      <w:r>
        <w:rPr>
          <w:rFonts w:ascii="FZShuSong-Z01S" w:hAnsi="FZShuSong-Z01S" w:cs="宋体"/>
          <w:color w:val="000000"/>
          <w:kern w:val="0"/>
          <w:szCs w:val="21"/>
        </w:rPr>
        <w:t>焊接工艺评定一般过程是：</w:t>
      </w:r>
    </w:p>
    <w:p w14:paraId="2E8519DD">
      <w:pPr>
        <w:pStyle w:val="159"/>
        <w:widowControl/>
        <w:numPr>
          <w:ilvl w:val="0"/>
          <w:numId w:val="19"/>
        </w:numPr>
        <w:ind w:firstLineChars="0"/>
        <w:jc w:val="left"/>
        <w:rPr>
          <w:rFonts w:hint="eastAsia" w:ascii="FZShuSong-Z01S" w:hAnsi="FZShuSong-Z01S" w:cs="宋体"/>
          <w:color w:val="000000"/>
          <w:kern w:val="0"/>
          <w:szCs w:val="21"/>
        </w:rPr>
      </w:pPr>
      <w:r>
        <w:rPr>
          <w:rFonts w:ascii="FZShuSong-Z01S" w:hAnsi="FZShuSong-Z01S" w:cs="宋体"/>
          <w:color w:val="000000"/>
          <w:kern w:val="0"/>
          <w:szCs w:val="21"/>
        </w:rPr>
        <w:t>根据金属材料和焊接材料的焊接性</w:t>
      </w:r>
      <w:r>
        <w:rPr>
          <w:rFonts w:hint="eastAsia" w:ascii="FZShuSong-Z01S" w:hAnsi="FZShuSong-Z01S" w:cs="宋体"/>
          <w:color w:val="000000"/>
          <w:kern w:val="0"/>
          <w:szCs w:val="21"/>
        </w:rPr>
        <w:t>；</w:t>
      </w:r>
    </w:p>
    <w:p w14:paraId="7F2DF390">
      <w:pPr>
        <w:pStyle w:val="159"/>
        <w:widowControl/>
        <w:numPr>
          <w:ilvl w:val="0"/>
          <w:numId w:val="19"/>
        </w:numPr>
        <w:ind w:firstLineChars="0"/>
        <w:jc w:val="left"/>
        <w:rPr>
          <w:rFonts w:hint="eastAsia" w:ascii="FZShuSong-Z01S" w:hAnsi="FZShuSong-Z01S" w:cs="宋体"/>
          <w:color w:val="000000"/>
          <w:kern w:val="0"/>
          <w:szCs w:val="21"/>
        </w:rPr>
      </w:pPr>
      <w:r>
        <w:rPr>
          <w:rFonts w:ascii="FZShuSong-Z01S" w:hAnsi="FZShuSong-Z01S" w:cs="宋体"/>
          <w:color w:val="000000"/>
          <w:kern w:val="0"/>
          <w:szCs w:val="21"/>
        </w:rPr>
        <w:t>按照设计文件规定和制造工艺拟定预焊接工艺规程</w:t>
      </w:r>
      <w:r>
        <w:rPr>
          <w:rFonts w:hint="eastAsia" w:ascii="FZShuSong-Z01S" w:hAnsi="FZShuSong-Z01S" w:cs="宋体"/>
          <w:color w:val="000000"/>
          <w:kern w:val="0"/>
          <w:szCs w:val="21"/>
        </w:rPr>
        <w:t>；</w:t>
      </w:r>
    </w:p>
    <w:p w14:paraId="73105934">
      <w:pPr>
        <w:pStyle w:val="159"/>
        <w:widowControl/>
        <w:numPr>
          <w:ilvl w:val="0"/>
          <w:numId w:val="19"/>
        </w:numPr>
        <w:ind w:firstLineChars="0"/>
        <w:jc w:val="left"/>
        <w:rPr>
          <w:rFonts w:hint="eastAsia" w:ascii="FZShuSong-Z01S" w:hAnsi="FZShuSong-Z01S" w:cs="宋体"/>
          <w:color w:val="000000"/>
          <w:kern w:val="0"/>
          <w:szCs w:val="21"/>
        </w:rPr>
      </w:pPr>
      <w:r>
        <w:rPr>
          <w:rFonts w:ascii="FZShuSong-Z01S" w:hAnsi="FZShuSong-Z01S" w:cs="宋体"/>
          <w:color w:val="000000"/>
          <w:kern w:val="0"/>
          <w:szCs w:val="21"/>
        </w:rPr>
        <w:t>制备试件</w:t>
      </w:r>
      <w:r>
        <w:rPr>
          <w:rFonts w:hint="eastAsia" w:ascii="FZShuSong-Z01S" w:hAnsi="FZShuSong-Z01S" w:cs="宋体"/>
          <w:color w:val="000000"/>
          <w:kern w:val="0"/>
          <w:szCs w:val="21"/>
        </w:rPr>
        <w:t>；</w:t>
      </w:r>
    </w:p>
    <w:p w14:paraId="57A4BA3D">
      <w:pPr>
        <w:pStyle w:val="159"/>
        <w:widowControl/>
        <w:numPr>
          <w:ilvl w:val="0"/>
          <w:numId w:val="19"/>
        </w:numPr>
        <w:ind w:firstLineChars="0"/>
        <w:jc w:val="left"/>
        <w:rPr>
          <w:rFonts w:hint="eastAsia" w:ascii="FZShuSong-Z01S" w:hAnsi="FZShuSong-Z01S" w:cs="宋体"/>
          <w:color w:val="000000"/>
          <w:kern w:val="0"/>
          <w:szCs w:val="21"/>
        </w:rPr>
      </w:pPr>
      <w:r>
        <w:rPr>
          <w:rFonts w:ascii="FZShuSong-Z01S" w:hAnsi="FZShuSong-Z01S" w:cs="宋体"/>
          <w:color w:val="000000"/>
          <w:kern w:val="0"/>
          <w:szCs w:val="21"/>
        </w:rPr>
        <w:t>制取试样</w:t>
      </w:r>
      <w:r>
        <w:rPr>
          <w:rFonts w:hint="eastAsia" w:ascii="FZShuSong-Z01S" w:hAnsi="FZShuSong-Z01S" w:cs="宋体"/>
          <w:color w:val="000000"/>
          <w:kern w:val="0"/>
          <w:szCs w:val="21"/>
        </w:rPr>
        <w:t>；</w:t>
      </w:r>
    </w:p>
    <w:p w14:paraId="3110EAE4">
      <w:pPr>
        <w:pStyle w:val="159"/>
        <w:widowControl/>
        <w:numPr>
          <w:ilvl w:val="0"/>
          <w:numId w:val="19"/>
        </w:numPr>
        <w:ind w:firstLineChars="0"/>
        <w:jc w:val="left"/>
        <w:rPr>
          <w:rFonts w:hint="eastAsia" w:ascii="FZShuSong-Z01S" w:hAnsi="FZShuSong-Z01S" w:cs="宋体"/>
          <w:color w:val="000000"/>
          <w:szCs w:val="21"/>
        </w:rPr>
      </w:pPr>
      <w:r>
        <w:rPr>
          <w:rFonts w:ascii="FZShuSong-Z01S" w:hAnsi="FZShuSong-Z01S" w:cs="宋体"/>
          <w:color w:val="000000"/>
          <w:kern w:val="0"/>
          <w:szCs w:val="21"/>
        </w:rPr>
        <w:t>检测焊接接头或耐蚀堆焊层是否符合规定的要</w:t>
      </w:r>
      <w:r>
        <w:rPr>
          <w:rFonts w:ascii="FZShuSong-Z01S" w:hAnsi="FZShuSong-Z01S" w:cs="宋体"/>
          <w:color w:val="000000"/>
          <w:szCs w:val="21"/>
        </w:rPr>
        <w:t>求</w:t>
      </w:r>
      <w:r>
        <w:rPr>
          <w:rFonts w:hint="eastAsia" w:ascii="FZShuSong-Z01S" w:hAnsi="FZShuSong-Z01S" w:cs="宋体"/>
          <w:color w:val="000000"/>
          <w:szCs w:val="21"/>
        </w:rPr>
        <w:t>；</w:t>
      </w:r>
    </w:p>
    <w:p w14:paraId="56564FDA">
      <w:pPr>
        <w:pStyle w:val="159"/>
        <w:widowControl/>
        <w:numPr>
          <w:ilvl w:val="0"/>
          <w:numId w:val="19"/>
        </w:numPr>
        <w:ind w:firstLineChars="0"/>
        <w:jc w:val="left"/>
      </w:pPr>
      <w:r>
        <w:rPr>
          <w:rFonts w:ascii="FZShuSong-Z01S" w:hAnsi="FZShuSong-Z01S" w:cs="宋体"/>
          <w:color w:val="000000"/>
          <w:szCs w:val="21"/>
        </w:rPr>
        <w:t>并形成焊接工艺评定报告对</w:t>
      </w:r>
      <w:r>
        <w:rPr>
          <w:color w:val="000000"/>
          <w:szCs w:val="21"/>
        </w:rPr>
        <w:t xml:space="preserve">pWPS </w:t>
      </w:r>
      <w:r>
        <w:rPr>
          <w:rFonts w:ascii="FZShuSong-Z01S" w:hAnsi="FZShuSong-Z01S" w:cs="宋体"/>
          <w:color w:val="000000"/>
          <w:szCs w:val="21"/>
        </w:rPr>
        <w:t>进行评价。</w:t>
      </w:r>
    </w:p>
    <w:p w14:paraId="41B0DB70">
      <w:pPr>
        <w:pStyle w:val="45"/>
        <w:ind w:left="0"/>
      </w:pPr>
      <w:bookmarkStart w:id="34" w:name="_Toc234486100"/>
      <w:r>
        <w:rPr>
          <w:rFonts w:hint="eastAsia"/>
        </w:rPr>
        <w:t>焊接工艺规程</w:t>
      </w:r>
      <w:bookmarkEnd w:id="34"/>
    </w:p>
    <w:p w14:paraId="665FA178">
      <w:pPr>
        <w:pStyle w:val="27"/>
      </w:pPr>
      <w:r>
        <w:rPr>
          <w:rFonts w:hint="eastAsia"/>
        </w:rPr>
        <w:t>焊接工艺规程应根据合格的焊接工艺评定报告编制。焊接工艺应能被相应的焊接工艺评定覆盖，特别是工艺参数允许变化的范围；</w:t>
      </w:r>
      <w:r>
        <w:rPr>
          <w:rFonts w:ascii="FZShuSong-Z01S" w:hAnsi="FZShuSong-Z01S"/>
          <w:color w:val="000000"/>
          <w:szCs w:val="21"/>
        </w:rPr>
        <w:t xml:space="preserve">焊接工艺规程流程图见附录 </w:t>
      </w:r>
      <w:r>
        <w:rPr>
          <w:rFonts w:ascii="Times New Roman"/>
          <w:color w:val="000000"/>
          <w:szCs w:val="21"/>
        </w:rPr>
        <w:t>A</w:t>
      </w:r>
      <w:r>
        <w:rPr>
          <w:rFonts w:ascii="FZShuSong-Z01S" w:hAnsi="FZShuSong-Z01S"/>
          <w:color w:val="000000"/>
          <w:szCs w:val="21"/>
        </w:rPr>
        <w:t>。</w:t>
      </w:r>
    </w:p>
    <w:p w14:paraId="01F018DA">
      <w:pPr>
        <w:pStyle w:val="45"/>
        <w:ind w:left="0"/>
      </w:pPr>
      <w:bookmarkStart w:id="35" w:name="_Toc234486101"/>
      <w:r>
        <w:rPr>
          <w:rFonts w:hint="eastAsia"/>
        </w:rPr>
        <w:t>焊接实施前提条件</w:t>
      </w:r>
      <w:bookmarkEnd w:id="35"/>
    </w:p>
    <w:p w14:paraId="7DC47732">
      <w:pPr>
        <w:pStyle w:val="27"/>
      </w:pPr>
      <w:r>
        <w:rPr>
          <w:rFonts w:hint="eastAsia"/>
        </w:rPr>
        <w:t>焊接实施前应完成以下内容：</w:t>
      </w:r>
    </w:p>
    <w:p w14:paraId="2F709A67">
      <w:pPr>
        <w:pStyle w:val="27"/>
        <w:numPr>
          <w:ilvl w:val="0"/>
          <w:numId w:val="20"/>
        </w:numPr>
        <w:ind w:firstLineChars="0"/>
      </w:pPr>
      <w:r>
        <w:rPr>
          <w:rFonts w:hint="eastAsia"/>
        </w:rPr>
        <w:t>制造车间已通过评定并合格；</w:t>
      </w:r>
    </w:p>
    <w:p w14:paraId="7463DDE7">
      <w:pPr>
        <w:pStyle w:val="27"/>
        <w:numPr>
          <w:ilvl w:val="0"/>
          <w:numId w:val="20"/>
        </w:numPr>
        <w:ind w:firstLineChars="0"/>
      </w:pPr>
      <w:r>
        <w:rPr>
          <w:rFonts w:hint="eastAsia"/>
        </w:rPr>
        <w:t>施工环境满足相应要求；</w:t>
      </w:r>
    </w:p>
    <w:p w14:paraId="79F3D59A">
      <w:pPr>
        <w:pStyle w:val="27"/>
        <w:numPr>
          <w:ilvl w:val="0"/>
          <w:numId w:val="20"/>
        </w:numPr>
        <w:ind w:firstLineChars="0"/>
      </w:pPr>
      <w:r>
        <w:rPr>
          <w:rFonts w:hint="eastAsia"/>
        </w:rPr>
        <w:t>焊工通过考核并取得相应资格；</w:t>
      </w:r>
    </w:p>
    <w:p w14:paraId="15068AE1">
      <w:pPr>
        <w:pStyle w:val="27"/>
        <w:numPr>
          <w:ilvl w:val="0"/>
          <w:numId w:val="20"/>
        </w:numPr>
        <w:ind w:firstLineChars="0"/>
      </w:pPr>
      <w:r>
        <w:rPr>
          <w:rFonts w:hint="eastAsia"/>
        </w:rPr>
        <w:t>母材已验收合格；</w:t>
      </w:r>
    </w:p>
    <w:p w14:paraId="44E1D215">
      <w:pPr>
        <w:pStyle w:val="27"/>
        <w:numPr>
          <w:ilvl w:val="0"/>
          <w:numId w:val="20"/>
        </w:numPr>
        <w:ind w:firstLineChars="0"/>
      </w:pPr>
      <w:r>
        <w:rPr>
          <w:rFonts w:hint="eastAsia"/>
        </w:rPr>
        <w:t>焊接材料验收、复验合格；</w:t>
      </w:r>
    </w:p>
    <w:p w14:paraId="37B782CC">
      <w:pPr>
        <w:pStyle w:val="27"/>
        <w:numPr>
          <w:ilvl w:val="0"/>
          <w:numId w:val="20"/>
        </w:numPr>
        <w:ind w:firstLineChars="0"/>
      </w:pPr>
      <w:r>
        <w:rPr>
          <w:rFonts w:hint="eastAsia"/>
        </w:rPr>
        <w:t>相应工作程序齐全并将所有必要的文件放在施焊处；</w:t>
      </w:r>
    </w:p>
    <w:p w14:paraId="16B809CA">
      <w:pPr>
        <w:pStyle w:val="27"/>
        <w:numPr>
          <w:ilvl w:val="0"/>
          <w:numId w:val="20"/>
        </w:numPr>
        <w:ind w:firstLineChars="0"/>
      </w:pPr>
      <w:r>
        <w:rPr>
          <w:rFonts w:hint="eastAsia"/>
        </w:rPr>
        <w:t>焊接数据包已经完成编制；</w:t>
      </w:r>
    </w:p>
    <w:p w14:paraId="16869911">
      <w:pPr>
        <w:pStyle w:val="27"/>
        <w:numPr>
          <w:ilvl w:val="0"/>
          <w:numId w:val="20"/>
        </w:numPr>
        <w:ind w:firstLineChars="0"/>
      </w:pPr>
      <w:r>
        <w:rPr>
          <w:rFonts w:hint="eastAsia"/>
        </w:rPr>
        <w:t>相应的质量计划完成编制；</w:t>
      </w:r>
    </w:p>
    <w:p w14:paraId="4DCF6D21">
      <w:pPr>
        <w:pStyle w:val="27"/>
        <w:numPr>
          <w:ilvl w:val="0"/>
          <w:numId w:val="20"/>
        </w:numPr>
        <w:ind w:firstLineChars="0"/>
      </w:pPr>
      <w:r>
        <w:rPr>
          <w:rFonts w:hint="eastAsia"/>
        </w:rPr>
        <w:t>预热、焊接、后热、消除应力热处理和其它设备工作正常；</w:t>
      </w:r>
    </w:p>
    <w:p w14:paraId="07ED8464">
      <w:pPr>
        <w:pStyle w:val="27"/>
        <w:numPr>
          <w:ilvl w:val="0"/>
          <w:numId w:val="20"/>
        </w:numPr>
        <w:ind w:firstLineChars="0"/>
      </w:pPr>
      <w:r>
        <w:rPr>
          <w:rFonts w:hint="eastAsia"/>
        </w:rPr>
        <w:t>测量仪器、仪表经过检查、校准且处于有效期内。</w:t>
      </w:r>
    </w:p>
    <w:p w14:paraId="7F857834">
      <w:pPr>
        <w:pStyle w:val="45"/>
        <w:ind w:left="0"/>
      </w:pPr>
      <w:bookmarkStart w:id="36" w:name="_Toc234486102"/>
      <w:r>
        <w:rPr>
          <w:rFonts w:hint="eastAsia"/>
        </w:rPr>
        <w:t>高温设备的要求</w:t>
      </w:r>
      <w:bookmarkEnd w:id="36"/>
    </w:p>
    <w:p w14:paraId="11574587">
      <w:pPr>
        <w:pStyle w:val="27"/>
        <w:ind w:firstLine="0" w:firstLineChars="0"/>
      </w:pPr>
      <w:r>
        <w:rPr>
          <w:rFonts w:hint="eastAsia"/>
        </w:rPr>
        <w:t>4</w:t>
      </w:r>
      <w:r>
        <w:t xml:space="preserve">.4.1 </w:t>
      </w:r>
      <w:r>
        <w:rPr>
          <w:rFonts w:hint="eastAsia"/>
        </w:rPr>
        <w:t>对于焊接接头所处位置设计温度， 当碳钢、低合金钢、马氏体不锈钢超过370℃，奥氏体不锈钢、Ni-Cr-Fe合金、Ni-Cu合金超过425℃时，应进行设计文件规定的高温拉伸试验、高温持久强度试验、高温蠕变强度试验，合格指标按照相应母材要求；高温持久强度和高温蠕变强度试验按照G</w:t>
      </w:r>
      <w:r>
        <w:t>B/T 2039</w:t>
      </w:r>
      <w:r>
        <w:rPr>
          <w:rFonts w:hint="eastAsia"/>
        </w:rPr>
        <w:t>执行。</w:t>
      </w:r>
    </w:p>
    <w:p w14:paraId="318399F8">
      <w:pPr>
        <w:pStyle w:val="27"/>
        <w:ind w:firstLine="0" w:firstLineChars="0"/>
      </w:pPr>
      <w:r>
        <w:rPr>
          <w:rFonts w:hint="eastAsia"/>
        </w:rPr>
        <w:t>4</w:t>
      </w:r>
      <w:r>
        <w:t xml:space="preserve">.4.2 </w:t>
      </w:r>
      <w:r>
        <w:rPr>
          <w:rFonts w:hint="eastAsia"/>
        </w:rPr>
        <w:t>高温持久强度试验在5个以上适当的应力水平进行等温持久试验，至少有3个应力水平每组做出3个数据；外推比通常不超过3。</w:t>
      </w:r>
    </w:p>
    <w:p w14:paraId="56B18850">
      <w:pPr>
        <w:pStyle w:val="27"/>
        <w:ind w:firstLine="0" w:firstLineChars="0"/>
      </w:pPr>
      <w:r>
        <w:t xml:space="preserve">4.4.3 </w:t>
      </w:r>
      <w:r>
        <w:rPr>
          <w:rFonts w:hint="eastAsia"/>
        </w:rPr>
        <w:t>高温蠕变强度试验应提供的蠕变强度值包括：对应设计温度和时间下1</w:t>
      </w:r>
      <w:r>
        <w:t>%</w:t>
      </w:r>
      <w:r>
        <w:rPr>
          <w:rFonts w:hint="eastAsia"/>
        </w:rPr>
        <w:t>总应变的强度值和引起三次蠕变开始的最小应力值。</w:t>
      </w:r>
    </w:p>
    <w:p w14:paraId="78012879">
      <w:pPr>
        <w:pStyle w:val="48"/>
      </w:pPr>
      <w:bookmarkStart w:id="37" w:name="_Toc234486103"/>
      <w:r>
        <w:rPr>
          <w:rFonts w:hint="eastAsia"/>
        </w:rPr>
        <w:t>人员</w:t>
      </w:r>
      <w:bookmarkEnd w:id="37"/>
    </w:p>
    <w:p w14:paraId="604C090D">
      <w:pPr>
        <w:pStyle w:val="45"/>
        <w:ind w:left="0"/>
      </w:pPr>
      <w:bookmarkStart w:id="38" w:name="_Toc48658966"/>
      <w:bookmarkEnd w:id="38"/>
      <w:bookmarkStart w:id="39" w:name="_Toc234486104"/>
      <w:r>
        <w:rPr>
          <w:rFonts w:hint="eastAsia"/>
        </w:rPr>
        <w:t>焊工和焊接操作工</w:t>
      </w:r>
      <w:bookmarkEnd w:id="39"/>
    </w:p>
    <w:p w14:paraId="560A6494">
      <w:pPr>
        <w:pStyle w:val="27"/>
      </w:pPr>
      <w:r>
        <w:rPr>
          <w:rFonts w:hint="eastAsia"/>
        </w:rPr>
        <w:t>组装及安装人员应具有熟练的组装及安装工作经验和与工作任务相适应的能力。</w:t>
      </w:r>
    </w:p>
    <w:p w14:paraId="7EE0F366">
      <w:pPr>
        <w:pStyle w:val="27"/>
        <w:rPr>
          <w:rFonts w:ascii="Times New Roman"/>
          <w:szCs w:val="21"/>
        </w:rPr>
      </w:pPr>
      <w:r>
        <w:rPr>
          <w:rFonts w:ascii="Times New Roman"/>
          <w:szCs w:val="21"/>
        </w:rPr>
        <w:t>焊工和焊接操作工必须严格进行培训和考试，并取得相应</w:t>
      </w:r>
      <w:r>
        <w:rPr>
          <w:rFonts w:hint="eastAsia" w:ascii="Times New Roman"/>
          <w:szCs w:val="21"/>
        </w:rPr>
        <w:t>机构颁发的资格</w:t>
      </w:r>
      <w:r>
        <w:rPr>
          <w:rFonts w:ascii="Times New Roman"/>
          <w:szCs w:val="21"/>
        </w:rPr>
        <w:t>证书。</w:t>
      </w:r>
    </w:p>
    <w:p w14:paraId="08D769A6">
      <w:pPr>
        <w:pStyle w:val="45"/>
        <w:ind w:left="0"/>
        <w:rPr>
          <w:rFonts w:ascii="Times New Roman"/>
        </w:rPr>
      </w:pPr>
      <w:bookmarkStart w:id="40" w:name="_Toc48658968"/>
      <w:bookmarkEnd w:id="40"/>
      <w:bookmarkStart w:id="41" w:name="_Toc234486105"/>
      <w:bookmarkStart w:id="42" w:name="_Toc172634461"/>
      <w:bookmarkStart w:id="43" w:name="_Toc183773238"/>
      <w:r>
        <w:rPr>
          <w:rFonts w:hint="eastAsia" w:ascii="Times New Roman"/>
        </w:rPr>
        <w:t>焊接技术人员</w:t>
      </w:r>
      <w:bookmarkEnd w:id="41"/>
    </w:p>
    <w:p w14:paraId="0B34A3D8">
      <w:pPr>
        <w:pStyle w:val="27"/>
      </w:pPr>
      <w:r>
        <w:rPr>
          <w:rFonts w:hint="eastAsia"/>
          <w:color w:val="000000"/>
          <w:szCs w:val="21"/>
        </w:rPr>
        <w:t>制造商应配置合适的焊接技术人员。焊接技术人员应具有必要的知识和能力并获得制造商授权。</w:t>
      </w:r>
    </w:p>
    <w:p w14:paraId="47ABA661">
      <w:pPr>
        <w:pStyle w:val="45"/>
        <w:ind w:left="0"/>
      </w:pPr>
      <w:bookmarkStart w:id="44" w:name="_Toc234486106"/>
      <w:r>
        <w:rPr>
          <w:rFonts w:hint="eastAsia"/>
        </w:rPr>
        <w:t>检验人员</w:t>
      </w:r>
      <w:bookmarkEnd w:id="44"/>
    </w:p>
    <w:p w14:paraId="1AFA9B1B">
      <w:pPr>
        <w:pStyle w:val="27"/>
        <w:rPr>
          <w:rFonts w:ascii="Times New Roman"/>
          <w:szCs w:val="21"/>
        </w:rPr>
      </w:pPr>
      <w:r>
        <w:rPr>
          <w:rFonts w:ascii="Times New Roman"/>
          <w:szCs w:val="21"/>
        </w:rPr>
        <w:t>无损检验人员应严格按照进行培训和考试，并取得相应资格的证书后才能按照证书的类别和级别从事相应的无损检验工作。</w:t>
      </w:r>
    </w:p>
    <w:p w14:paraId="27B11F7A">
      <w:pPr>
        <w:pStyle w:val="27"/>
        <w:rPr>
          <w:rFonts w:ascii="Times New Roman"/>
          <w:szCs w:val="21"/>
        </w:rPr>
      </w:pPr>
      <w:r>
        <w:rPr>
          <w:rFonts w:hint="eastAsia" w:hAnsi="宋体" w:cs="宋体"/>
          <w:color w:val="000000"/>
          <w:szCs w:val="21"/>
        </w:rPr>
        <w:t>破坏性检验人员须经相应培训并取得相应的资质证书。</w:t>
      </w:r>
    </w:p>
    <w:p w14:paraId="53DE552B">
      <w:pPr>
        <w:pStyle w:val="45"/>
        <w:ind w:left="0"/>
        <w:rPr>
          <w:rFonts w:ascii="Times New Roman"/>
        </w:rPr>
      </w:pPr>
      <w:bookmarkStart w:id="45" w:name="_Toc234486107"/>
      <w:r>
        <w:rPr>
          <w:rFonts w:hint="eastAsia" w:ascii="Times New Roman"/>
        </w:rPr>
        <w:t>热处理人员</w:t>
      </w:r>
      <w:bookmarkEnd w:id="45"/>
    </w:p>
    <w:p w14:paraId="33A54D05">
      <w:pPr>
        <w:pStyle w:val="27"/>
      </w:pPr>
      <w:r>
        <w:rPr>
          <w:rFonts w:hint="eastAsia"/>
          <w:color w:val="000000"/>
          <w:szCs w:val="21"/>
        </w:rPr>
        <w:t>热处理人员须经相应培训并取得相应的资质证书。</w:t>
      </w:r>
    </w:p>
    <w:p w14:paraId="22F710A5">
      <w:pPr>
        <w:pStyle w:val="48"/>
      </w:pPr>
      <w:bookmarkStart w:id="46" w:name="_Toc234486108"/>
      <w:r>
        <w:rPr>
          <w:rFonts w:hint="eastAsia"/>
        </w:rPr>
        <w:t>焊接制造车间</w:t>
      </w:r>
      <w:bookmarkEnd w:id="42"/>
      <w:bookmarkEnd w:id="43"/>
      <w:r>
        <w:rPr>
          <w:rFonts w:hint="eastAsia"/>
        </w:rPr>
        <w:t>评定</w:t>
      </w:r>
      <w:bookmarkEnd w:id="46"/>
    </w:p>
    <w:p w14:paraId="3ABF12B3">
      <w:pPr>
        <w:pStyle w:val="27"/>
      </w:pPr>
      <w:bookmarkStart w:id="47" w:name="_Toc119926396"/>
      <w:bookmarkEnd w:id="47"/>
      <w:bookmarkStart w:id="48" w:name="_Toc119926288"/>
      <w:bookmarkEnd w:id="48"/>
      <w:bookmarkStart w:id="49" w:name="_Toc119926285"/>
      <w:bookmarkEnd w:id="49"/>
      <w:bookmarkStart w:id="50" w:name="_Toc119926394"/>
      <w:bookmarkEnd w:id="50"/>
      <w:bookmarkStart w:id="51" w:name="_Toc48658974"/>
      <w:bookmarkEnd w:id="51"/>
      <w:bookmarkStart w:id="52" w:name="_Toc119926390"/>
      <w:bookmarkEnd w:id="52"/>
      <w:bookmarkStart w:id="53" w:name="_Toc119926391"/>
      <w:bookmarkEnd w:id="53"/>
      <w:bookmarkStart w:id="54" w:name="_Toc48658976"/>
      <w:bookmarkEnd w:id="54"/>
      <w:bookmarkStart w:id="55" w:name="_Toc119926291"/>
      <w:bookmarkEnd w:id="55"/>
      <w:bookmarkStart w:id="56" w:name="_Toc119926293"/>
      <w:bookmarkEnd w:id="56"/>
      <w:bookmarkStart w:id="57" w:name="_Toc119926286"/>
      <w:bookmarkEnd w:id="57"/>
      <w:bookmarkStart w:id="58" w:name="_Toc119926389"/>
      <w:bookmarkEnd w:id="58"/>
      <w:bookmarkStart w:id="59" w:name="_Toc48658972"/>
      <w:bookmarkEnd w:id="59"/>
      <w:bookmarkStart w:id="60" w:name="_Toc119926388"/>
      <w:bookmarkEnd w:id="60"/>
      <w:bookmarkStart w:id="61" w:name="_Toc490662726"/>
      <w:bookmarkEnd w:id="61"/>
      <w:bookmarkStart w:id="62" w:name="_Toc119926287"/>
      <w:bookmarkEnd w:id="62"/>
      <w:bookmarkStart w:id="63" w:name="_Toc119926393"/>
      <w:bookmarkEnd w:id="63"/>
      <w:bookmarkStart w:id="64" w:name="_Toc490662728"/>
      <w:bookmarkEnd w:id="64"/>
      <w:bookmarkStart w:id="65" w:name="_Toc381002926"/>
      <w:bookmarkEnd w:id="65"/>
      <w:bookmarkStart w:id="66" w:name="_Toc380005106"/>
      <w:bookmarkEnd w:id="66"/>
      <w:bookmarkStart w:id="67" w:name="_Toc119926292"/>
      <w:bookmarkEnd w:id="67"/>
      <w:bookmarkStart w:id="68" w:name="_Toc119926395"/>
      <w:bookmarkEnd w:id="68"/>
      <w:bookmarkStart w:id="69" w:name="_Toc381003437"/>
      <w:bookmarkEnd w:id="69"/>
      <w:bookmarkStart w:id="70" w:name="_Toc119071413"/>
      <w:bookmarkEnd w:id="70"/>
      <w:bookmarkStart w:id="71" w:name="_Toc119926290"/>
      <w:bookmarkEnd w:id="71"/>
      <w:bookmarkStart w:id="72" w:name="_Toc119926289"/>
      <w:bookmarkEnd w:id="72"/>
      <w:bookmarkStart w:id="73" w:name="_Toc119926392"/>
      <w:bookmarkEnd w:id="73"/>
      <w:r>
        <w:rPr>
          <w:rFonts w:hint="eastAsia"/>
        </w:rPr>
        <w:t>焊接车间、设备、消耗品及质量保证程序应符合焊接制造车间技术评定的要求。</w:t>
      </w:r>
    </w:p>
    <w:p w14:paraId="601BB740">
      <w:pPr>
        <w:pStyle w:val="48"/>
      </w:pPr>
      <w:bookmarkStart w:id="74" w:name="_Toc234486109"/>
      <w:r>
        <w:rPr>
          <w:rFonts w:hint="eastAsia"/>
        </w:rPr>
        <w:t>焊接数据包</w:t>
      </w:r>
      <w:bookmarkEnd w:id="74"/>
    </w:p>
    <w:p w14:paraId="4980BECB">
      <w:pPr>
        <w:pStyle w:val="27"/>
      </w:pPr>
      <w:r>
        <w:rPr>
          <w:rFonts w:hint="eastAsia"/>
        </w:rPr>
        <w:t>每个焊接数据包应对应一个设备，承压设备和堆内构件都要求有焊接数据包，其内容包括：</w:t>
      </w:r>
    </w:p>
    <w:p w14:paraId="41CEAA51">
      <w:pPr>
        <w:pStyle w:val="27"/>
        <w:jc w:val="left"/>
      </w:pPr>
      <w:r>
        <w:rPr>
          <w:rFonts w:hint="eastAsia"/>
        </w:rPr>
        <w:t>标记出全部焊接接头位置的设备总图或简图。在管道的特殊情况下，不使用设备总图或简图来标记焊接接头的位置，但在轴侧图上应尽可能标出所用焊接接头的型式；</w:t>
      </w:r>
    </w:p>
    <w:p w14:paraId="03718E91">
      <w:pPr>
        <w:pStyle w:val="27"/>
        <w:jc w:val="left"/>
      </w:pPr>
      <w:r>
        <w:rPr>
          <w:rFonts w:hint="eastAsia"/>
        </w:rPr>
        <w:t>管道以外的设备，应有一个表示设备零部件的评定试件和焊接顺序以及相关的消除应力热处理与检验的试件一览表；</w:t>
      </w:r>
    </w:p>
    <w:p w14:paraId="3BD370E2">
      <w:pPr>
        <w:pStyle w:val="27"/>
        <w:jc w:val="left"/>
      </w:pPr>
      <w:r>
        <w:rPr>
          <w:rFonts w:hint="eastAsia"/>
        </w:rPr>
        <w:t>一个包括所有接头的目录表：</w:t>
      </w:r>
    </w:p>
    <w:p w14:paraId="6009FF9E">
      <w:pPr>
        <w:pStyle w:val="27"/>
        <w:numPr>
          <w:ilvl w:val="0"/>
          <w:numId w:val="21"/>
        </w:numPr>
        <w:ind w:firstLineChars="0"/>
        <w:jc w:val="left"/>
      </w:pPr>
      <w:r>
        <w:rPr>
          <w:rFonts w:hint="eastAsia"/>
        </w:rPr>
        <w:t>对于每一个焊接接头或在管道的情况下每一种类型的接头，应有如下规定：</w:t>
      </w:r>
    </w:p>
    <w:p w14:paraId="3B13CCB4">
      <w:pPr>
        <w:pStyle w:val="27"/>
        <w:numPr>
          <w:ilvl w:val="0"/>
          <w:numId w:val="22"/>
        </w:numPr>
        <w:ind w:firstLineChars="0"/>
        <w:jc w:val="left"/>
      </w:pPr>
      <w:r>
        <w:rPr>
          <w:rFonts w:hint="eastAsia"/>
        </w:rPr>
        <w:t>标有尺寸的简图；</w:t>
      </w:r>
    </w:p>
    <w:p w14:paraId="4F9C74C4">
      <w:pPr>
        <w:pStyle w:val="27"/>
        <w:numPr>
          <w:ilvl w:val="0"/>
          <w:numId w:val="22"/>
        </w:numPr>
        <w:ind w:firstLineChars="0"/>
        <w:jc w:val="left"/>
      </w:pPr>
      <w:r>
        <w:rPr>
          <w:rFonts w:hint="eastAsia"/>
        </w:rPr>
        <w:t>采用的焊接工艺和相应的焊接工艺规程；</w:t>
      </w:r>
    </w:p>
    <w:p w14:paraId="4EC250C1">
      <w:pPr>
        <w:pStyle w:val="27"/>
        <w:numPr>
          <w:ilvl w:val="0"/>
          <w:numId w:val="22"/>
        </w:numPr>
        <w:ind w:firstLineChars="0"/>
        <w:jc w:val="left"/>
      </w:pPr>
      <w:r>
        <w:rPr>
          <w:rFonts w:hint="eastAsia"/>
        </w:rPr>
        <w:t>累积热处理参数；</w:t>
      </w:r>
    </w:p>
    <w:p w14:paraId="151A97B5">
      <w:pPr>
        <w:pStyle w:val="27"/>
        <w:numPr>
          <w:ilvl w:val="0"/>
          <w:numId w:val="22"/>
        </w:numPr>
        <w:ind w:firstLineChars="0"/>
        <w:jc w:val="left"/>
      </w:pPr>
      <w:r>
        <w:rPr>
          <w:rFonts w:hint="eastAsia"/>
        </w:rPr>
        <w:t>确认焊接工艺有效的评定试件编号；</w:t>
      </w:r>
    </w:p>
    <w:p w14:paraId="1895F904">
      <w:pPr>
        <w:pStyle w:val="27"/>
        <w:numPr>
          <w:ilvl w:val="0"/>
          <w:numId w:val="22"/>
        </w:numPr>
        <w:ind w:firstLineChars="0"/>
        <w:jc w:val="left"/>
      </w:pPr>
      <w:r>
        <w:rPr>
          <w:rFonts w:hint="eastAsia"/>
        </w:rPr>
        <w:t>整个设备的评定清单，以及能从中得出评定有效范围的每个试件的焊接工艺规程；</w:t>
      </w:r>
    </w:p>
    <w:p w14:paraId="2D75D6A4">
      <w:pPr>
        <w:pStyle w:val="27"/>
        <w:numPr>
          <w:ilvl w:val="0"/>
          <w:numId w:val="22"/>
        </w:numPr>
        <w:ind w:firstLineChars="0"/>
        <w:jc w:val="left"/>
      </w:pPr>
      <w:r>
        <w:rPr>
          <w:rFonts w:hint="eastAsia"/>
        </w:rPr>
        <w:t>产品焊接见证件试件一览表。</w:t>
      </w:r>
    </w:p>
    <w:p w14:paraId="7EBB63BD">
      <w:pPr>
        <w:pStyle w:val="27"/>
        <w:numPr>
          <w:ilvl w:val="0"/>
          <w:numId w:val="21"/>
        </w:numPr>
        <w:ind w:firstLineChars="0"/>
        <w:jc w:val="left"/>
      </w:pPr>
      <w:r>
        <w:rPr>
          <w:rFonts w:hint="eastAsia"/>
        </w:rPr>
        <w:t>母材应按相应采购标准或专用技术条件验收合格；</w:t>
      </w:r>
    </w:p>
    <w:p w14:paraId="752C5DC6">
      <w:pPr>
        <w:pStyle w:val="27"/>
        <w:numPr>
          <w:ilvl w:val="0"/>
          <w:numId w:val="21"/>
        </w:numPr>
        <w:ind w:firstLineChars="0"/>
        <w:jc w:val="left"/>
      </w:pPr>
      <w:r>
        <w:rPr>
          <w:rFonts w:hint="eastAsia"/>
        </w:rPr>
        <w:t>焊接材料应按批进行验收和复验。</w:t>
      </w:r>
    </w:p>
    <w:p w14:paraId="678991C7">
      <w:pPr>
        <w:pStyle w:val="48"/>
        <w:rPr>
          <w:szCs w:val="21"/>
        </w:rPr>
      </w:pPr>
      <w:bookmarkStart w:id="75" w:name="_Toc234486110"/>
      <w:r>
        <w:rPr>
          <w:rFonts w:hint="eastAsia"/>
          <w:szCs w:val="21"/>
        </w:rPr>
        <w:t>标识和可追溯性</w:t>
      </w:r>
      <w:bookmarkEnd w:id="75"/>
    </w:p>
    <w:p w14:paraId="6C1D467F">
      <w:pPr>
        <w:pStyle w:val="45"/>
        <w:ind w:left="0"/>
      </w:pPr>
      <w:bookmarkStart w:id="76" w:name="_Toc234486111"/>
      <w:r>
        <w:rPr>
          <w:rFonts w:hint="eastAsia" w:hAnsi="黑体"/>
          <w:color w:val="000000"/>
        </w:rPr>
        <w:t>焊工或焊接操作工的识别标记</w:t>
      </w:r>
      <w:bookmarkEnd w:id="76"/>
    </w:p>
    <w:p w14:paraId="2742D087">
      <w:pPr>
        <w:widowControl/>
        <w:ind w:firstLine="400" w:firstLineChars="200"/>
        <w:jc w:val="left"/>
        <w:rPr>
          <w:rFonts w:ascii="宋体" w:hAnsi="宋体" w:cs="宋体"/>
          <w:color w:val="000000"/>
          <w:kern w:val="0"/>
          <w:sz w:val="20"/>
          <w:szCs w:val="20"/>
        </w:rPr>
      </w:pPr>
      <w:r>
        <w:rPr>
          <w:rFonts w:hint="eastAsia" w:ascii="宋体" w:hAnsi="宋体" w:cs="宋体"/>
          <w:color w:val="000000"/>
          <w:kern w:val="0"/>
          <w:sz w:val="20"/>
          <w:szCs w:val="20"/>
        </w:rPr>
        <w:t>焊工或焊接操作工的识别标记如下要求：</w:t>
      </w:r>
    </w:p>
    <w:p w14:paraId="06705DE9">
      <w:pPr>
        <w:widowControl/>
        <w:ind w:firstLine="400" w:firstLineChars="200"/>
        <w:jc w:val="left"/>
        <w:rPr>
          <w:rFonts w:ascii="宋体" w:hAnsi="宋体" w:cs="宋体"/>
          <w:kern w:val="0"/>
          <w:sz w:val="24"/>
        </w:rPr>
      </w:pPr>
      <w:r>
        <w:rPr>
          <w:rFonts w:hint="eastAsia" w:ascii="宋体" w:hAnsi="宋体" w:cs="宋体"/>
          <w:color w:val="000000"/>
          <w:kern w:val="0"/>
          <w:sz w:val="20"/>
          <w:szCs w:val="20"/>
        </w:rPr>
        <w:t xml:space="preserve">a) </w:t>
      </w:r>
      <w:r>
        <w:rPr>
          <w:rFonts w:hint="eastAsia" w:ascii="宋体" w:hAnsi="宋体" w:cs="宋体"/>
          <w:color w:val="000000"/>
          <w:kern w:val="0"/>
          <w:szCs w:val="21"/>
        </w:rPr>
        <w:t xml:space="preserve">每个焊工或焊接操作工，应在其所焊接的永久性焊接接头附近（对于支承件，则限定为1级设备支承件接头），打上制造商指定的焊工或焊接操作工识别标记。识别标记的间距应不超过1m，并应采用既不污染材料也不产生明显加工硬化或应力集中的办法作永久性标识。作为替代方法，制造商应记录部件上的每个焊接接头以及完成该接头的焊工或焊接操作工。 </w:t>
      </w:r>
    </w:p>
    <w:p w14:paraId="42042659">
      <w:pPr>
        <w:widowControl/>
        <w:ind w:firstLine="400" w:firstLineChars="200"/>
        <w:jc w:val="left"/>
        <w:rPr>
          <w:rFonts w:ascii="宋体" w:hAnsi="宋体" w:cs="宋体"/>
          <w:kern w:val="0"/>
          <w:sz w:val="24"/>
        </w:rPr>
      </w:pPr>
      <w:r>
        <w:rPr>
          <w:rFonts w:hint="eastAsia" w:ascii="宋体" w:hAnsi="宋体" w:cs="宋体"/>
          <w:color w:val="000000"/>
          <w:kern w:val="0"/>
          <w:sz w:val="20"/>
          <w:szCs w:val="20"/>
        </w:rPr>
        <w:t xml:space="preserve">b) </w:t>
      </w:r>
      <w:r>
        <w:rPr>
          <w:rFonts w:hint="eastAsia" w:ascii="宋体" w:hAnsi="宋体" w:cs="宋体"/>
          <w:color w:val="000000"/>
          <w:kern w:val="0"/>
          <w:szCs w:val="21"/>
        </w:rPr>
        <w:t xml:space="preserve">对于产品上的多条永久性结构附件焊缝、非结构附件焊缝、角焊缝、插套焊缝、特殊密封焊缝、耐蚀堆焊、耐磨堆焊和换热管与管板焊缝等（对于支承件，包括1级设备支承件主要构件中熔深小于 25mm 的部分焊透接头，焊喉小于 25mm 的角焊缝，所有的次要构件接头），如符合以下规定，则制造商不需对每个焊缝有焊工或焊接操作工标识： </w:t>
      </w:r>
      <w:r>
        <w:rPr>
          <w:rFonts w:ascii="Symbol" w:hAnsi="Symbol" w:cs="宋体"/>
          <w:color w:val="000000"/>
          <w:kern w:val="0"/>
          <w:szCs w:val="21"/>
        </w:rPr>
        <w:t></w:t>
      </w:r>
    </w:p>
    <w:p w14:paraId="4180A7F7">
      <w:pPr>
        <w:pStyle w:val="159"/>
        <w:widowControl/>
        <w:numPr>
          <w:ilvl w:val="0"/>
          <w:numId w:val="23"/>
        </w:numPr>
        <w:ind w:left="0" w:firstLine="426" w:firstLineChars="0"/>
        <w:jc w:val="left"/>
        <w:rPr>
          <w:rFonts w:ascii="宋体" w:hAnsi="宋体" w:cs="宋体"/>
          <w:kern w:val="0"/>
          <w:sz w:val="24"/>
        </w:rPr>
      </w:pPr>
      <w:r>
        <w:rPr>
          <w:rFonts w:hint="eastAsia" w:ascii="宋体" w:hAnsi="宋体" w:cs="宋体"/>
          <w:color w:val="000000"/>
          <w:kern w:val="0"/>
          <w:szCs w:val="21"/>
        </w:rPr>
        <w:t xml:space="preserve">有完成每个产品上此类焊缝的焊工或焊接操作工的记录，以便检查人员核查焊工或焊接操作工是已评定合格的； </w:t>
      </w:r>
      <w:r>
        <w:rPr>
          <w:rFonts w:ascii="Symbol" w:hAnsi="Symbol" w:cs="宋体"/>
          <w:color w:val="000000"/>
          <w:kern w:val="0"/>
          <w:szCs w:val="21"/>
        </w:rPr>
        <w:t></w:t>
      </w:r>
    </w:p>
    <w:p w14:paraId="6715A74A">
      <w:pPr>
        <w:pStyle w:val="159"/>
        <w:widowControl/>
        <w:numPr>
          <w:ilvl w:val="0"/>
          <w:numId w:val="23"/>
        </w:numPr>
        <w:ind w:left="0" w:firstLine="426" w:firstLineChars="0"/>
        <w:jc w:val="left"/>
        <w:rPr>
          <w:rFonts w:ascii="宋体" w:hAnsi="宋体" w:cs="宋体"/>
          <w:kern w:val="0"/>
          <w:sz w:val="24"/>
        </w:rPr>
      </w:pPr>
      <w:r>
        <w:rPr>
          <w:rFonts w:hint="eastAsia" w:ascii="宋体" w:hAnsi="宋体" w:cs="宋体"/>
          <w:color w:val="000000"/>
          <w:kern w:val="0"/>
          <w:szCs w:val="21"/>
        </w:rPr>
        <w:t xml:space="preserve">每一类焊接接头中的各条焊缝形式和结构都相同，且使用相同的焊接工艺规程。 </w:t>
      </w:r>
    </w:p>
    <w:p w14:paraId="4804A179">
      <w:pPr>
        <w:widowControl/>
        <w:ind w:firstLine="400" w:firstLineChars="200"/>
        <w:jc w:val="left"/>
        <w:rPr>
          <w:rFonts w:ascii="宋体" w:hAnsi="宋体" w:cs="宋体"/>
          <w:kern w:val="0"/>
          <w:sz w:val="24"/>
        </w:rPr>
      </w:pPr>
      <w:r>
        <w:rPr>
          <w:rFonts w:hint="eastAsia" w:ascii="宋体" w:hAnsi="宋体" w:cs="宋体"/>
          <w:color w:val="000000"/>
          <w:kern w:val="0"/>
          <w:sz w:val="20"/>
          <w:szCs w:val="20"/>
        </w:rPr>
        <w:t xml:space="preserve">c) </w:t>
      </w:r>
      <w:r>
        <w:rPr>
          <w:rFonts w:hint="eastAsia" w:ascii="宋体" w:hAnsi="宋体" w:cs="宋体"/>
          <w:color w:val="000000"/>
          <w:kern w:val="0"/>
          <w:szCs w:val="21"/>
        </w:rPr>
        <w:t xml:space="preserve">对于所有的 2 级、3 级和 MC 级设备支承件以及所有级别的管道支承件和标准支承件，制造商应提供证据证明所有焊缝都是由评定合格的焊工或焊接操作工完成的。 </w:t>
      </w:r>
    </w:p>
    <w:p w14:paraId="16259991">
      <w:pPr>
        <w:pStyle w:val="27"/>
        <w:rPr>
          <w:rFonts w:hAnsi="宋体" w:cs="宋体"/>
          <w:color w:val="000000"/>
          <w:szCs w:val="21"/>
        </w:rPr>
      </w:pPr>
    </w:p>
    <w:p w14:paraId="5354C6E4">
      <w:pPr>
        <w:pStyle w:val="45"/>
        <w:ind w:left="0"/>
      </w:pPr>
      <w:bookmarkStart w:id="77" w:name="_Toc234486112"/>
      <w:r>
        <w:rPr>
          <w:rFonts w:hint="eastAsia"/>
        </w:rPr>
        <w:t>标识和可追溯性</w:t>
      </w:r>
      <w:bookmarkEnd w:id="77"/>
    </w:p>
    <w:p w14:paraId="1B6FD0A9">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在整个制造过程中，应按要求保持标识及可追溯性。 </w:t>
      </w:r>
    </w:p>
    <w:p w14:paraId="376ACAAA">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保证焊接操作标识及可追溯性的文件体系应包括： </w:t>
      </w:r>
    </w:p>
    <w:p w14:paraId="12D6AFD6">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——质量计划标识； </w:t>
      </w:r>
    </w:p>
    <w:p w14:paraId="6D7139AC">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——工序、程序的标识； </w:t>
      </w:r>
    </w:p>
    <w:p w14:paraId="1F590BD9">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——焊缝的标识； </w:t>
      </w:r>
    </w:p>
    <w:p w14:paraId="2BB754DC">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——无损检测规程及人员标识； </w:t>
      </w:r>
    </w:p>
    <w:p w14:paraId="48E8B9AB">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——焊接材料标识（如型号、商标、制造商及批号或炉号）； </w:t>
      </w:r>
    </w:p>
    <w:p w14:paraId="0E6D81CF">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——原材料标识及（或）可追溯性（如型号、炉号）； </w:t>
      </w:r>
    </w:p>
    <w:p w14:paraId="299246D3">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——修复部位标识； </w:t>
      </w:r>
    </w:p>
    <w:p w14:paraId="0A461E24">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——临时附件位置标识； </w:t>
      </w:r>
    </w:p>
    <w:p w14:paraId="7A9D099A">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——机械化、自动化焊接设备对焊缝的可追溯性； </w:t>
      </w:r>
    </w:p>
    <w:p w14:paraId="5BF4E7AD">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——焊工、焊接操作工对焊缝的可追溯性； </w:t>
      </w:r>
    </w:p>
    <w:p w14:paraId="6A61F031">
      <w:pPr>
        <w:widowControl/>
        <w:ind w:firstLine="424" w:firstLineChars="202"/>
        <w:jc w:val="left"/>
        <w:rPr>
          <w:rFonts w:ascii="宋体" w:hAnsi="宋体" w:cs="宋体"/>
          <w:kern w:val="0"/>
          <w:sz w:val="24"/>
        </w:rPr>
      </w:pPr>
      <w:r>
        <w:rPr>
          <w:rFonts w:hint="eastAsia" w:ascii="宋体" w:hAnsi="宋体" w:cs="宋体"/>
          <w:color w:val="000000"/>
          <w:kern w:val="0"/>
          <w:szCs w:val="21"/>
        </w:rPr>
        <w:t xml:space="preserve">——焊接材料对于焊缝的可追溯性； </w:t>
      </w:r>
    </w:p>
    <w:p w14:paraId="2CBBB651">
      <w:pPr>
        <w:pStyle w:val="27"/>
        <w:ind w:firstLine="424" w:firstLineChars="202"/>
      </w:pPr>
      <w:r>
        <w:rPr>
          <w:rFonts w:hint="eastAsia" w:hAnsi="宋体" w:cs="宋体"/>
          <w:color w:val="000000"/>
          <w:szCs w:val="21"/>
        </w:rPr>
        <w:t>——焊接工艺规程对焊缝的可追溯性。</w:t>
      </w:r>
    </w:p>
    <w:p w14:paraId="16042A2B">
      <w:pPr>
        <w:pStyle w:val="48"/>
        <w:rPr>
          <w:szCs w:val="21"/>
        </w:rPr>
      </w:pPr>
      <w:bookmarkStart w:id="78" w:name="_Toc234486113"/>
      <w:bookmarkStart w:id="79" w:name="_Toc172634466"/>
      <w:bookmarkStart w:id="80" w:name="_Toc183773243"/>
      <w:r>
        <w:rPr>
          <w:rFonts w:hint="eastAsia"/>
          <w:szCs w:val="21"/>
        </w:rPr>
        <w:t>试样、评定接头和产品焊接见证件的保存</w:t>
      </w:r>
      <w:bookmarkEnd w:id="78"/>
      <w:r>
        <w:rPr>
          <w:rFonts w:hint="eastAsia"/>
          <w:szCs w:val="21"/>
        </w:rPr>
        <w:t xml:space="preserve"> </w:t>
      </w:r>
    </w:p>
    <w:p w14:paraId="4E0B679C">
      <w:pPr>
        <w:widowControl/>
        <w:ind w:firstLine="420" w:firstLineChars="200"/>
        <w:jc w:val="left"/>
        <w:rPr>
          <w:rFonts w:ascii="宋体" w:hAnsi="宋体" w:cs="宋体"/>
          <w:kern w:val="0"/>
          <w:sz w:val="24"/>
        </w:rPr>
      </w:pPr>
      <w:r>
        <w:rPr>
          <w:rFonts w:hint="eastAsia" w:ascii="宋体" w:hAnsi="宋体" w:cs="宋体"/>
          <w:color w:val="000000"/>
          <w:kern w:val="0"/>
          <w:szCs w:val="21"/>
        </w:rPr>
        <w:t xml:space="preserve">焊接工艺评定试验的试件余料和试验过的试样应由制造商至少保存3年。 </w:t>
      </w:r>
    </w:p>
    <w:p w14:paraId="063438CE">
      <w:pPr>
        <w:widowControl/>
        <w:ind w:firstLine="420" w:firstLineChars="200"/>
        <w:jc w:val="left"/>
        <w:rPr>
          <w:rFonts w:ascii="宋体" w:hAnsi="宋体" w:cs="宋体"/>
          <w:color w:val="000000"/>
        </w:rPr>
      </w:pPr>
      <w:r>
        <w:rPr>
          <w:rFonts w:hint="eastAsia" w:ascii="宋体" w:hAnsi="宋体" w:cs="宋体"/>
          <w:color w:val="000000"/>
        </w:rPr>
        <w:t>产品焊接见证件余料和试验过的试样，在设备验收之前，由制造商保存。</w:t>
      </w:r>
    </w:p>
    <w:p w14:paraId="17BBF2EE">
      <w:pPr>
        <w:widowControl/>
        <w:jc w:val="left"/>
        <w:rPr>
          <w:rFonts w:ascii="黑体" w:eastAsia="黑体"/>
          <w:kern w:val="0"/>
          <w:szCs w:val="21"/>
        </w:rPr>
      </w:pPr>
      <w:r>
        <w:rPr>
          <w:szCs w:val="21"/>
        </w:rPr>
        <w:br w:type="page"/>
      </w:r>
    </w:p>
    <w:p w14:paraId="4D126F04">
      <w:pPr>
        <w:pStyle w:val="48"/>
        <w:numPr>
          <w:ilvl w:val="0"/>
          <w:numId w:val="0"/>
        </w:numPr>
        <w:ind w:firstLine="210" w:firstLineChars="100"/>
        <w:jc w:val="center"/>
        <w:rPr>
          <w:szCs w:val="21"/>
        </w:rPr>
      </w:pPr>
      <w:bookmarkStart w:id="81" w:name="_Toc234486114"/>
      <w:r>
        <w:rPr>
          <w:rFonts w:hint="eastAsia"/>
          <w:szCs w:val="21"/>
        </w:rPr>
        <w:t>附录A</w:t>
      </w:r>
      <w:bookmarkEnd w:id="81"/>
      <w:r>
        <w:rPr>
          <w:szCs w:val="21"/>
        </w:rPr>
        <w:t xml:space="preserve"> </w:t>
      </w:r>
    </w:p>
    <w:p w14:paraId="6DADFC58">
      <w:pPr>
        <w:pStyle w:val="48"/>
        <w:numPr>
          <w:ilvl w:val="0"/>
          <w:numId w:val="0"/>
        </w:numPr>
        <w:ind w:firstLine="210" w:firstLineChars="100"/>
        <w:jc w:val="center"/>
        <w:rPr>
          <w:szCs w:val="21"/>
        </w:rPr>
      </w:pPr>
      <w:bookmarkStart w:id="82" w:name="_Toc234486115"/>
      <w:r>
        <w:rPr>
          <w:rFonts w:hint="eastAsia"/>
          <w:szCs w:val="21"/>
        </w:rPr>
        <w:t>（资料性）</w:t>
      </w:r>
      <w:bookmarkEnd w:id="82"/>
    </w:p>
    <w:p w14:paraId="7C2F1171">
      <w:pPr>
        <w:pStyle w:val="48"/>
        <w:numPr>
          <w:ilvl w:val="0"/>
          <w:numId w:val="0"/>
        </w:numPr>
        <w:ind w:firstLine="210" w:firstLineChars="100"/>
        <w:jc w:val="center"/>
        <w:rPr>
          <w:szCs w:val="21"/>
        </w:rPr>
      </w:pPr>
      <w:bookmarkStart w:id="83" w:name="_Toc234486116"/>
      <w:r>
        <w:rPr>
          <w:rFonts w:hint="eastAsia"/>
          <w:szCs w:val="21"/>
        </w:rPr>
        <w:t>焊接工艺规程流程图</w:t>
      </w:r>
      <w:bookmarkEnd w:id="83"/>
    </w:p>
    <w:p w14:paraId="4128323E">
      <w:pPr>
        <w:pStyle w:val="27"/>
      </w:pPr>
      <w:r>
        <w:rPr>
          <w:rFonts w:hint="eastAsia"/>
        </w:rPr>
        <w:t>焊接工艺规程流程图，见图A</w:t>
      </w:r>
      <w:r>
        <w:t>.1</w:t>
      </w:r>
      <w:r>
        <w:rPr>
          <w:rFonts w:hint="eastAsia"/>
        </w:rPr>
        <w:t>。</w:t>
      </w:r>
    </w:p>
    <w:p w14:paraId="7D7D7A4D">
      <w:pPr>
        <w:pStyle w:val="27"/>
        <w:jc w:val="center"/>
      </w:pPr>
      <w:r>
        <w:object>
          <v:shape id="_x0000_i1025" o:spt="75" type="#_x0000_t75" style="height:506.25pt;width:414.7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181903B4">
      <w:pPr>
        <w:pStyle w:val="27"/>
        <w:jc w:val="center"/>
      </w:pPr>
      <w:r>
        <w:rPr>
          <w:rFonts w:hint="eastAsia"/>
        </w:rPr>
        <w:t>图A</w:t>
      </w:r>
      <w:r>
        <w:t xml:space="preserve">.1 </w:t>
      </w:r>
      <w:r>
        <w:rPr>
          <w:rFonts w:hint="eastAsia"/>
        </w:rPr>
        <w:t>焊接工艺规程流程图</w:t>
      </w:r>
    </w:p>
    <w:bookmarkEnd w:id="79"/>
    <w:bookmarkEnd w:id="80"/>
    <w:p w14:paraId="42365B5F">
      <w:pPr>
        <w:pStyle w:val="27"/>
        <w:ind w:firstLine="0" w:firstLineChars="0"/>
        <w:jc w:val="center"/>
      </w:pPr>
    </w:p>
    <w:sectPr>
      <w:pgSz w:w="11906" w:h="16838"/>
      <w:pgMar w:top="1134" w:right="1417" w:bottom="567" w:left="1134"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体">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Mincho">
    <w:altName w:val="Yu Gothic"/>
    <w:panose1 w:val="020206090402050803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imesNewRoman,Bold">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FZShuSong-Z01S">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E0088">
    <w:pPr>
      <w:pStyle w:val="71"/>
      <w:jc w:val="center"/>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B2994">
    <w:pPr>
      <w:pStyle w:val="46"/>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EA114">
    <w:pPr>
      <w:pStyle w:val="72"/>
    </w:pPr>
    <w:r>
      <w:rPr>
        <w:rFonts w:hint="eastAsia"/>
      </w:rPr>
      <w:t>T</w:t>
    </w:r>
    <w:r>
      <w:t>/</w:t>
    </w:r>
    <w:r>
      <w:rPr>
        <w:rFonts w:hint="eastAsia"/>
      </w:rPr>
      <w:t>CNS</w:t>
    </w:r>
    <w:r>
      <w:t xml:space="preserve">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74721">
    <w:pPr>
      <w:pStyle w:val="47"/>
    </w:pPr>
    <w:r>
      <w:rPr>
        <w:rFonts w:hint="eastAsia"/>
      </w:rPr>
      <w:t>T</w:t>
    </w:r>
    <w:r>
      <w:t>/</w:t>
    </w:r>
    <w:r>
      <w:rPr>
        <w:rFonts w:hint="eastAsia"/>
      </w:rPr>
      <w:t>CNS</w:t>
    </w:r>
    <w:r>
      <w:t xml:space="preserve">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28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9"/>
      <w:suff w:val="nothing"/>
      <w:lvlText w:val="%1.%2.%3　"/>
      <w:lvlJc w:val="left"/>
      <w:pPr>
        <w:ind w:left="-1417" w:firstLine="0"/>
      </w:pPr>
      <w:rPr>
        <w:rFonts w:hint="eastAsia" w:ascii="黑体" w:hAnsi="Times New Roman" w:eastAsia="黑体"/>
        <w:b w:val="0"/>
        <w:i w:val="0"/>
        <w:sz w:val="21"/>
      </w:rPr>
    </w:lvl>
    <w:lvl w:ilvl="3" w:tentative="0">
      <w:start w:val="1"/>
      <w:numFmt w:val="decimal"/>
      <w:pStyle w:val="54"/>
      <w:suff w:val="nothing"/>
      <w:lvlText w:val="%1.%2.%3.%4　"/>
      <w:lvlJc w:val="left"/>
      <w:pPr>
        <w:ind w:left="-1417" w:firstLine="0"/>
      </w:pPr>
      <w:rPr>
        <w:rFonts w:hint="eastAsia" w:ascii="黑体" w:hAnsi="Times New Roman" w:eastAsia="黑体"/>
        <w:b w:val="0"/>
        <w:i w:val="0"/>
        <w:sz w:val="21"/>
      </w:rPr>
    </w:lvl>
    <w:lvl w:ilvl="4" w:tentative="0">
      <w:start w:val="1"/>
      <w:numFmt w:val="decimal"/>
      <w:pStyle w:val="58"/>
      <w:suff w:val="nothing"/>
      <w:lvlText w:val="%1.%2.%3.%4.%5　"/>
      <w:lvlJc w:val="left"/>
      <w:pPr>
        <w:ind w:left="-1417" w:firstLine="0"/>
      </w:pPr>
      <w:rPr>
        <w:rFonts w:hint="eastAsia" w:ascii="黑体" w:hAnsi="Times New Roman" w:eastAsia="黑体"/>
        <w:b w:val="0"/>
        <w:i w:val="0"/>
        <w:sz w:val="21"/>
      </w:rPr>
    </w:lvl>
    <w:lvl w:ilvl="5" w:tentative="0">
      <w:start w:val="1"/>
      <w:numFmt w:val="decimal"/>
      <w:pStyle w:val="59"/>
      <w:suff w:val="nothing"/>
      <w:lvlText w:val="%1.%2.%3.%4.%5.%6　"/>
      <w:lvlJc w:val="left"/>
      <w:pPr>
        <w:ind w:left="-1417" w:firstLine="0"/>
      </w:pPr>
      <w:rPr>
        <w:rFonts w:hint="eastAsia" w:ascii="黑体" w:hAnsi="Times New Roman" w:eastAsia="黑体"/>
        <w:b w:val="0"/>
        <w:i w:val="0"/>
        <w:sz w:val="21"/>
      </w:rPr>
    </w:lvl>
    <w:lvl w:ilvl="6" w:tentative="0">
      <w:start w:val="1"/>
      <w:numFmt w:val="decimal"/>
      <w:suff w:val="nothing"/>
      <w:lvlText w:val="%1%2.%3.%4.%5.%6.%7　"/>
      <w:lvlJc w:val="left"/>
      <w:pPr>
        <w:ind w:left="-1417" w:firstLine="0"/>
      </w:pPr>
      <w:rPr>
        <w:rFonts w:hint="eastAsia" w:ascii="黑体" w:hAnsi="Times New Roman" w:eastAsia="黑体"/>
        <w:b w:val="0"/>
        <w:i w:val="0"/>
        <w:sz w:val="21"/>
      </w:rPr>
    </w:lvl>
    <w:lvl w:ilvl="7" w:tentative="0">
      <w:start w:val="1"/>
      <w:numFmt w:val="decimal"/>
      <w:lvlText w:val="%1.%2.%3.%4.%5.%6.%7.%8"/>
      <w:lvlJc w:val="left"/>
      <w:pPr>
        <w:tabs>
          <w:tab w:val="left" w:pos="2934"/>
        </w:tabs>
        <w:ind w:left="2552" w:hanging="1418"/>
      </w:pPr>
      <w:rPr>
        <w:rFonts w:hint="eastAsia"/>
      </w:rPr>
    </w:lvl>
    <w:lvl w:ilvl="8" w:tentative="0">
      <w:start w:val="1"/>
      <w:numFmt w:val="decimal"/>
      <w:lvlText w:val="%1.%2.%3.%4.%5.%6.%7.%8.%9"/>
      <w:lvlJc w:val="left"/>
      <w:pPr>
        <w:tabs>
          <w:tab w:val="left" w:pos="3360"/>
        </w:tabs>
        <w:ind w:left="3260" w:hanging="1700"/>
      </w:pPr>
      <w:rPr>
        <w:rFonts w:hint="eastAsia"/>
      </w:rPr>
    </w:lvl>
  </w:abstractNum>
  <w:abstractNum w:abstractNumId="6">
    <w:nsid w:val="27F175F5"/>
    <w:multiLevelType w:val="multilevel"/>
    <w:tmpl w:val="27F175F5"/>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2A8F7113"/>
    <w:multiLevelType w:val="multilevel"/>
    <w:tmpl w:val="2A8F7113"/>
    <w:lvl w:ilvl="0" w:tentative="0">
      <w:start w:val="1"/>
      <w:numFmt w:val="upperLetter"/>
      <w:pStyle w:val="101"/>
      <w:suff w:val="space"/>
      <w:lvlText w:val="%1"/>
      <w:lvlJc w:val="left"/>
      <w:pPr>
        <w:ind w:left="623" w:hanging="425"/>
      </w:pPr>
      <w:rPr>
        <w:rFonts w:hint="eastAsia"/>
      </w:rPr>
    </w:lvl>
    <w:lvl w:ilvl="1" w:tentative="0">
      <w:start w:val="1"/>
      <w:numFmt w:val="decimal"/>
      <w:pStyle w:val="10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51"/>
      <w:suff w:val="nothing"/>
      <w:lvlText w:val="%1——"/>
      <w:lvlJc w:val="left"/>
      <w:pPr>
        <w:ind w:left="833" w:hanging="408"/>
      </w:pPr>
      <w:rPr>
        <w:rFonts w:hint="eastAsia"/>
      </w:rPr>
    </w:lvl>
    <w:lvl w:ilvl="1" w:tentative="0">
      <w:start w:val="1"/>
      <w:numFmt w:val="bullet"/>
      <w:pStyle w:val="52"/>
      <w:lvlText w:val=""/>
      <w:lvlJc w:val="left"/>
      <w:pPr>
        <w:tabs>
          <w:tab w:val="left" w:pos="760"/>
        </w:tabs>
        <w:ind w:left="1264" w:hanging="413"/>
      </w:pPr>
      <w:rPr>
        <w:rFonts w:hint="default" w:ascii="Symbol" w:hAnsi="Symbol"/>
        <w:color w:val="auto"/>
      </w:rPr>
    </w:lvl>
    <w:lvl w:ilvl="2" w:tentative="0">
      <w:start w:val="1"/>
      <w:numFmt w:val="bullet"/>
      <w:pStyle w:val="6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3F277D01"/>
    <w:multiLevelType w:val="multilevel"/>
    <w:tmpl w:val="3F277D0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44C50F90"/>
    <w:multiLevelType w:val="multilevel"/>
    <w:tmpl w:val="44C50F90"/>
    <w:lvl w:ilvl="0" w:tentative="0">
      <w:start w:val="1"/>
      <w:numFmt w:val="lowerLetter"/>
      <w:pStyle w:val="6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9933EC0"/>
    <w:multiLevelType w:val="multilevel"/>
    <w:tmpl w:val="49933EC0"/>
    <w:lvl w:ilvl="0" w:tentative="0">
      <w:start w:val="1"/>
      <w:numFmt w:val="decimal"/>
      <w:pStyle w:val="152"/>
      <w:suff w:val="space"/>
      <w:lvlText w:val="%1"/>
      <w:lvlJc w:val="left"/>
      <w:pPr>
        <w:ind w:left="425" w:hanging="425"/>
      </w:pPr>
      <w:rPr>
        <w:rFonts w:hint="eastAsia"/>
      </w:rPr>
    </w:lvl>
    <w:lvl w:ilvl="1" w:tentative="0">
      <w:start w:val="1"/>
      <w:numFmt w:val="decimal"/>
      <w:pStyle w:val="153"/>
      <w:suff w:val="space"/>
      <w:lvlText w:val="%1.%2"/>
      <w:lvlJc w:val="left"/>
      <w:pPr>
        <w:ind w:left="992" w:hanging="992"/>
      </w:pPr>
      <w:rPr>
        <w:rFonts w:hint="eastAsia"/>
      </w:rPr>
    </w:lvl>
    <w:lvl w:ilvl="2" w:tentative="0">
      <w:start w:val="1"/>
      <w:numFmt w:val="decimal"/>
      <w:pStyle w:val="155"/>
      <w:suff w:val="space"/>
      <w:lvlText w:val="%1.%2.%3"/>
      <w:lvlJc w:val="left"/>
      <w:pPr>
        <w:ind w:left="2552" w:hanging="1418"/>
      </w:pPr>
      <w:rPr>
        <w:rFonts w:hint="eastAsia"/>
      </w:rPr>
    </w:lvl>
    <w:lvl w:ilvl="3" w:tentative="0">
      <w:start w:val="1"/>
      <w:numFmt w:val="decimal"/>
      <w:pStyle w:val="157"/>
      <w:suff w:val="space"/>
      <w:lvlText w:val="%1.%2.%3.%4"/>
      <w:lvlJc w:val="left"/>
      <w:pPr>
        <w:ind w:left="1984" w:hanging="1984"/>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4B733A5F"/>
    <w:multiLevelType w:val="multilevel"/>
    <w:tmpl w:val="4B733A5F"/>
    <w:lvl w:ilvl="0" w:tentative="0">
      <w:start w:val="1"/>
      <w:numFmt w:val="decimal"/>
      <w:pStyle w:val="6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557C2AF5"/>
    <w:multiLevelType w:val="multilevel"/>
    <w:tmpl w:val="557C2AF5"/>
    <w:lvl w:ilvl="0" w:tentative="0">
      <w:start w:val="1"/>
      <w:numFmt w:val="decimal"/>
      <w:pStyle w:val="13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0B55DC2"/>
    <w:multiLevelType w:val="multilevel"/>
    <w:tmpl w:val="60B55DC2"/>
    <w:lvl w:ilvl="0" w:tentative="0">
      <w:start w:val="1"/>
      <w:numFmt w:val="upperLetter"/>
      <w:pStyle w:val="89"/>
      <w:lvlText w:val="%1"/>
      <w:lvlJc w:val="left"/>
      <w:pPr>
        <w:tabs>
          <w:tab w:val="left" w:pos="0"/>
        </w:tabs>
        <w:ind w:left="0" w:hanging="425"/>
      </w:pPr>
      <w:rPr>
        <w:rFonts w:hint="eastAsia"/>
      </w:rPr>
    </w:lvl>
    <w:lvl w:ilvl="1" w:tentative="0">
      <w:start w:val="1"/>
      <w:numFmt w:val="decimal"/>
      <w:pStyle w:val="9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8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6"/>
      <w:suff w:val="nothing"/>
      <w:lvlText w:val="%1.%2.%3　"/>
      <w:lvlJc w:val="left"/>
      <w:pPr>
        <w:ind w:left="0" w:firstLine="0"/>
      </w:pPr>
      <w:rPr>
        <w:rFonts w:hint="eastAsia" w:ascii="黑体" w:hAnsi="Times New Roman" w:eastAsia="黑体"/>
        <w:b w:val="0"/>
        <w:i w:val="0"/>
        <w:sz w:val="21"/>
      </w:rPr>
    </w:lvl>
    <w:lvl w:ilvl="3" w:tentative="0">
      <w:start w:val="1"/>
      <w:numFmt w:val="decimal"/>
      <w:pStyle w:val="91"/>
      <w:suff w:val="nothing"/>
      <w:lvlText w:val="%1.%2.%3.%4　"/>
      <w:lvlJc w:val="left"/>
      <w:pPr>
        <w:ind w:left="0" w:firstLine="0"/>
      </w:pPr>
      <w:rPr>
        <w:rFonts w:hint="eastAsia" w:ascii="黑体" w:hAnsi="Times New Roman" w:eastAsia="黑体"/>
        <w:b w:val="0"/>
        <w:i w:val="0"/>
        <w:sz w:val="21"/>
      </w:rPr>
    </w:lvl>
    <w:lvl w:ilvl="4" w:tentative="0">
      <w:start w:val="1"/>
      <w:numFmt w:val="decimal"/>
      <w:pStyle w:val="96"/>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08"/>
      <w:lvlText w:val="%1)"/>
      <w:lvlJc w:val="left"/>
      <w:pPr>
        <w:tabs>
          <w:tab w:val="left" w:pos="839"/>
        </w:tabs>
        <w:ind w:left="839" w:hanging="419"/>
      </w:pPr>
      <w:rPr>
        <w:rFonts w:hint="eastAsia" w:ascii="宋体" w:eastAsia="宋体"/>
        <w:b w:val="0"/>
        <w:i w:val="0"/>
        <w:sz w:val="21"/>
      </w:rPr>
    </w:lvl>
    <w:lvl w:ilvl="1" w:tentative="0">
      <w:start w:val="1"/>
      <w:numFmt w:val="decimal"/>
      <w:pStyle w:val="9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6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0">
    <w:nsid w:val="6EF042DC"/>
    <w:multiLevelType w:val="multilevel"/>
    <w:tmpl w:val="6EF042D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72AB4DDD"/>
    <w:multiLevelType w:val="multilevel"/>
    <w:tmpl w:val="72AB4DD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ED47029"/>
    <w:multiLevelType w:val="multilevel"/>
    <w:tmpl w:val="7ED4702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9"/>
  </w:num>
  <w:num w:numId="2">
    <w:abstractNumId w:val="5"/>
  </w:num>
  <w:num w:numId="3">
    <w:abstractNumId w:val="8"/>
  </w:num>
  <w:num w:numId="4">
    <w:abstractNumId w:val="2"/>
  </w:num>
  <w:num w:numId="5">
    <w:abstractNumId w:val="11"/>
  </w:num>
  <w:num w:numId="6">
    <w:abstractNumId w:val="19"/>
  </w:num>
  <w:num w:numId="7">
    <w:abstractNumId w:val="0"/>
  </w:num>
  <w:num w:numId="8">
    <w:abstractNumId w:val="13"/>
  </w:num>
  <w:num w:numId="9">
    <w:abstractNumId w:val="4"/>
  </w:num>
  <w:num w:numId="10">
    <w:abstractNumId w:val="17"/>
  </w:num>
  <w:num w:numId="11">
    <w:abstractNumId w:val="15"/>
  </w:num>
  <w:num w:numId="12">
    <w:abstractNumId w:val="18"/>
  </w:num>
  <w:num w:numId="13">
    <w:abstractNumId w:val="7"/>
  </w:num>
  <w:num w:numId="14">
    <w:abstractNumId w:val="1"/>
  </w:num>
  <w:num w:numId="15">
    <w:abstractNumId w:val="3"/>
  </w:num>
  <w:num w:numId="16">
    <w:abstractNumId w:val="16"/>
  </w:num>
  <w:num w:numId="17">
    <w:abstractNumId w:val="14"/>
  </w:num>
  <w:num w:numId="18">
    <w:abstractNumId w:val="12"/>
  </w:num>
  <w:num w:numId="19">
    <w:abstractNumId w:val="20"/>
  </w:num>
  <w:num w:numId="20">
    <w:abstractNumId w:val="10"/>
  </w:num>
  <w:num w:numId="21">
    <w:abstractNumId w:val="22"/>
  </w:num>
  <w:num w:numId="22">
    <w:abstractNumId w:val="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53F2"/>
    <w:rsid w:val="0000586F"/>
    <w:rsid w:val="00010755"/>
    <w:rsid w:val="0001212A"/>
    <w:rsid w:val="00013D86"/>
    <w:rsid w:val="00013E02"/>
    <w:rsid w:val="0002143C"/>
    <w:rsid w:val="000234F7"/>
    <w:rsid w:val="00025A65"/>
    <w:rsid w:val="00026C31"/>
    <w:rsid w:val="00027280"/>
    <w:rsid w:val="000320A7"/>
    <w:rsid w:val="00035925"/>
    <w:rsid w:val="00040D19"/>
    <w:rsid w:val="000433A5"/>
    <w:rsid w:val="00056328"/>
    <w:rsid w:val="00060954"/>
    <w:rsid w:val="00062BC8"/>
    <w:rsid w:val="000634E0"/>
    <w:rsid w:val="0006539D"/>
    <w:rsid w:val="00067CDF"/>
    <w:rsid w:val="000724C8"/>
    <w:rsid w:val="00074FBE"/>
    <w:rsid w:val="00083A09"/>
    <w:rsid w:val="00087BB6"/>
    <w:rsid w:val="0009005E"/>
    <w:rsid w:val="00092857"/>
    <w:rsid w:val="00095EBC"/>
    <w:rsid w:val="00096DBE"/>
    <w:rsid w:val="000A0F8A"/>
    <w:rsid w:val="000A20A9"/>
    <w:rsid w:val="000A40E4"/>
    <w:rsid w:val="000A47FE"/>
    <w:rsid w:val="000A48B1"/>
    <w:rsid w:val="000B3143"/>
    <w:rsid w:val="000B5F51"/>
    <w:rsid w:val="000B6513"/>
    <w:rsid w:val="000C3E60"/>
    <w:rsid w:val="000C6B05"/>
    <w:rsid w:val="000C6DD6"/>
    <w:rsid w:val="000C73D4"/>
    <w:rsid w:val="000C7763"/>
    <w:rsid w:val="000D231D"/>
    <w:rsid w:val="000D2D8B"/>
    <w:rsid w:val="000D3384"/>
    <w:rsid w:val="000D3D4C"/>
    <w:rsid w:val="000D4F51"/>
    <w:rsid w:val="000D718B"/>
    <w:rsid w:val="000E0C46"/>
    <w:rsid w:val="000E15A4"/>
    <w:rsid w:val="000E206A"/>
    <w:rsid w:val="000E49F7"/>
    <w:rsid w:val="000E4AC0"/>
    <w:rsid w:val="000F030C"/>
    <w:rsid w:val="000F129C"/>
    <w:rsid w:val="000F5877"/>
    <w:rsid w:val="000F6DC3"/>
    <w:rsid w:val="00100E1A"/>
    <w:rsid w:val="001056DE"/>
    <w:rsid w:val="00105FC5"/>
    <w:rsid w:val="00107352"/>
    <w:rsid w:val="001112E2"/>
    <w:rsid w:val="001121E6"/>
    <w:rsid w:val="001124C0"/>
    <w:rsid w:val="00124246"/>
    <w:rsid w:val="00124FD9"/>
    <w:rsid w:val="00125566"/>
    <w:rsid w:val="00127D6A"/>
    <w:rsid w:val="0013175F"/>
    <w:rsid w:val="001337E4"/>
    <w:rsid w:val="001457F3"/>
    <w:rsid w:val="001512B4"/>
    <w:rsid w:val="001533FF"/>
    <w:rsid w:val="00155AF8"/>
    <w:rsid w:val="00160473"/>
    <w:rsid w:val="001620A5"/>
    <w:rsid w:val="00163EB8"/>
    <w:rsid w:val="00164801"/>
    <w:rsid w:val="00164E53"/>
    <w:rsid w:val="0016699D"/>
    <w:rsid w:val="0017178D"/>
    <w:rsid w:val="00175159"/>
    <w:rsid w:val="00175804"/>
    <w:rsid w:val="00176208"/>
    <w:rsid w:val="00177CA3"/>
    <w:rsid w:val="0018211B"/>
    <w:rsid w:val="00182CB9"/>
    <w:rsid w:val="001835E4"/>
    <w:rsid w:val="001840D3"/>
    <w:rsid w:val="00185CB1"/>
    <w:rsid w:val="001900F8"/>
    <w:rsid w:val="00191258"/>
    <w:rsid w:val="00192680"/>
    <w:rsid w:val="00192A65"/>
    <w:rsid w:val="00193037"/>
    <w:rsid w:val="00193195"/>
    <w:rsid w:val="00193A2C"/>
    <w:rsid w:val="001A288E"/>
    <w:rsid w:val="001A6D07"/>
    <w:rsid w:val="001B0A63"/>
    <w:rsid w:val="001B1489"/>
    <w:rsid w:val="001B3DA1"/>
    <w:rsid w:val="001B59DE"/>
    <w:rsid w:val="001B6DC2"/>
    <w:rsid w:val="001C149C"/>
    <w:rsid w:val="001C21AC"/>
    <w:rsid w:val="001C40DC"/>
    <w:rsid w:val="001C47BA"/>
    <w:rsid w:val="001C59EA"/>
    <w:rsid w:val="001C6A8E"/>
    <w:rsid w:val="001D2D13"/>
    <w:rsid w:val="001D406C"/>
    <w:rsid w:val="001D41EE"/>
    <w:rsid w:val="001D5849"/>
    <w:rsid w:val="001D5FD6"/>
    <w:rsid w:val="001D6ED0"/>
    <w:rsid w:val="001E0380"/>
    <w:rsid w:val="001E0566"/>
    <w:rsid w:val="001E13B1"/>
    <w:rsid w:val="001E618C"/>
    <w:rsid w:val="001F21F8"/>
    <w:rsid w:val="001F38AF"/>
    <w:rsid w:val="001F3A19"/>
    <w:rsid w:val="001F44A5"/>
    <w:rsid w:val="001F50D1"/>
    <w:rsid w:val="001F5889"/>
    <w:rsid w:val="00203EAA"/>
    <w:rsid w:val="00205C8A"/>
    <w:rsid w:val="0020745D"/>
    <w:rsid w:val="00207EEC"/>
    <w:rsid w:val="00215DEA"/>
    <w:rsid w:val="00217BA7"/>
    <w:rsid w:val="0022090A"/>
    <w:rsid w:val="002277DD"/>
    <w:rsid w:val="00227958"/>
    <w:rsid w:val="00232BF5"/>
    <w:rsid w:val="00234467"/>
    <w:rsid w:val="00237D8D"/>
    <w:rsid w:val="00241DA2"/>
    <w:rsid w:val="0024301D"/>
    <w:rsid w:val="00247FEE"/>
    <w:rsid w:val="00250E7D"/>
    <w:rsid w:val="00252124"/>
    <w:rsid w:val="00255FBF"/>
    <w:rsid w:val="002565D5"/>
    <w:rsid w:val="0025661C"/>
    <w:rsid w:val="002622C0"/>
    <w:rsid w:val="00263C64"/>
    <w:rsid w:val="00265C20"/>
    <w:rsid w:val="002778AE"/>
    <w:rsid w:val="0028269A"/>
    <w:rsid w:val="00283590"/>
    <w:rsid w:val="00286973"/>
    <w:rsid w:val="00290A7C"/>
    <w:rsid w:val="00292203"/>
    <w:rsid w:val="00293CDD"/>
    <w:rsid w:val="00294E70"/>
    <w:rsid w:val="00295D13"/>
    <w:rsid w:val="002A10C1"/>
    <w:rsid w:val="002A1924"/>
    <w:rsid w:val="002A38F4"/>
    <w:rsid w:val="002A416B"/>
    <w:rsid w:val="002A7420"/>
    <w:rsid w:val="002B0F12"/>
    <w:rsid w:val="002B1308"/>
    <w:rsid w:val="002B1903"/>
    <w:rsid w:val="002B4554"/>
    <w:rsid w:val="002C3773"/>
    <w:rsid w:val="002C3FE1"/>
    <w:rsid w:val="002C4EE1"/>
    <w:rsid w:val="002C72D8"/>
    <w:rsid w:val="002D11FA"/>
    <w:rsid w:val="002D25CB"/>
    <w:rsid w:val="002D26FA"/>
    <w:rsid w:val="002E0DDF"/>
    <w:rsid w:val="002E1DF3"/>
    <w:rsid w:val="002E2906"/>
    <w:rsid w:val="002E5635"/>
    <w:rsid w:val="002E64C3"/>
    <w:rsid w:val="002E6A2C"/>
    <w:rsid w:val="002F1D8C"/>
    <w:rsid w:val="002F21DA"/>
    <w:rsid w:val="002F4A65"/>
    <w:rsid w:val="002F5DA0"/>
    <w:rsid w:val="0030035A"/>
    <w:rsid w:val="003006C9"/>
    <w:rsid w:val="00301F39"/>
    <w:rsid w:val="00307388"/>
    <w:rsid w:val="003078BB"/>
    <w:rsid w:val="003129C4"/>
    <w:rsid w:val="00313C85"/>
    <w:rsid w:val="00320A15"/>
    <w:rsid w:val="00324487"/>
    <w:rsid w:val="00325926"/>
    <w:rsid w:val="00326619"/>
    <w:rsid w:val="0032699A"/>
    <w:rsid w:val="00327A8A"/>
    <w:rsid w:val="003331B1"/>
    <w:rsid w:val="00334ED9"/>
    <w:rsid w:val="00336610"/>
    <w:rsid w:val="00336E5A"/>
    <w:rsid w:val="0034042D"/>
    <w:rsid w:val="00343F73"/>
    <w:rsid w:val="00344444"/>
    <w:rsid w:val="00345060"/>
    <w:rsid w:val="00345C75"/>
    <w:rsid w:val="0034606E"/>
    <w:rsid w:val="0035268D"/>
    <w:rsid w:val="0035323B"/>
    <w:rsid w:val="003609D2"/>
    <w:rsid w:val="00363F22"/>
    <w:rsid w:val="00366046"/>
    <w:rsid w:val="00366C12"/>
    <w:rsid w:val="00367F2A"/>
    <w:rsid w:val="00371DB1"/>
    <w:rsid w:val="0037409B"/>
    <w:rsid w:val="00374580"/>
    <w:rsid w:val="00375564"/>
    <w:rsid w:val="00377F97"/>
    <w:rsid w:val="0038264E"/>
    <w:rsid w:val="00383191"/>
    <w:rsid w:val="00386DED"/>
    <w:rsid w:val="003912E7"/>
    <w:rsid w:val="00391A30"/>
    <w:rsid w:val="00392F72"/>
    <w:rsid w:val="00393947"/>
    <w:rsid w:val="003A2275"/>
    <w:rsid w:val="003A5BB6"/>
    <w:rsid w:val="003A6A4F"/>
    <w:rsid w:val="003A6E20"/>
    <w:rsid w:val="003A6E63"/>
    <w:rsid w:val="003A7088"/>
    <w:rsid w:val="003B00DF"/>
    <w:rsid w:val="003B1275"/>
    <w:rsid w:val="003B1778"/>
    <w:rsid w:val="003B5ECB"/>
    <w:rsid w:val="003C11CB"/>
    <w:rsid w:val="003C1584"/>
    <w:rsid w:val="003C1A74"/>
    <w:rsid w:val="003C2142"/>
    <w:rsid w:val="003C75F3"/>
    <w:rsid w:val="003C78A3"/>
    <w:rsid w:val="003D3024"/>
    <w:rsid w:val="003D67E5"/>
    <w:rsid w:val="003E1867"/>
    <w:rsid w:val="003E5729"/>
    <w:rsid w:val="003F14A8"/>
    <w:rsid w:val="003F4EE0"/>
    <w:rsid w:val="003F6307"/>
    <w:rsid w:val="00402153"/>
    <w:rsid w:val="00402FC1"/>
    <w:rsid w:val="00403C93"/>
    <w:rsid w:val="00415BBA"/>
    <w:rsid w:val="00415E21"/>
    <w:rsid w:val="00421D17"/>
    <w:rsid w:val="00422A36"/>
    <w:rsid w:val="00423F43"/>
    <w:rsid w:val="00425082"/>
    <w:rsid w:val="00427A2E"/>
    <w:rsid w:val="00430240"/>
    <w:rsid w:val="00431DEB"/>
    <w:rsid w:val="00433856"/>
    <w:rsid w:val="00442748"/>
    <w:rsid w:val="004442F1"/>
    <w:rsid w:val="004464FB"/>
    <w:rsid w:val="00446B29"/>
    <w:rsid w:val="00453F9A"/>
    <w:rsid w:val="00455698"/>
    <w:rsid w:val="004633EA"/>
    <w:rsid w:val="00465870"/>
    <w:rsid w:val="00470519"/>
    <w:rsid w:val="00471E91"/>
    <w:rsid w:val="00474675"/>
    <w:rsid w:val="0047470C"/>
    <w:rsid w:val="004754E1"/>
    <w:rsid w:val="00475903"/>
    <w:rsid w:val="00476113"/>
    <w:rsid w:val="004777F8"/>
    <w:rsid w:val="00485B2A"/>
    <w:rsid w:val="00492952"/>
    <w:rsid w:val="004930F0"/>
    <w:rsid w:val="004933F5"/>
    <w:rsid w:val="00494391"/>
    <w:rsid w:val="004A03F8"/>
    <w:rsid w:val="004A35F9"/>
    <w:rsid w:val="004B24C1"/>
    <w:rsid w:val="004B2AE2"/>
    <w:rsid w:val="004B488E"/>
    <w:rsid w:val="004B5ABA"/>
    <w:rsid w:val="004C292F"/>
    <w:rsid w:val="004C5151"/>
    <w:rsid w:val="004C6BA4"/>
    <w:rsid w:val="004D1BFC"/>
    <w:rsid w:val="004D253C"/>
    <w:rsid w:val="004D468D"/>
    <w:rsid w:val="004D6309"/>
    <w:rsid w:val="004E375E"/>
    <w:rsid w:val="004E5E50"/>
    <w:rsid w:val="004E6AE5"/>
    <w:rsid w:val="00510280"/>
    <w:rsid w:val="00510638"/>
    <w:rsid w:val="0051196F"/>
    <w:rsid w:val="00513D73"/>
    <w:rsid w:val="00514A43"/>
    <w:rsid w:val="005174E5"/>
    <w:rsid w:val="00522393"/>
    <w:rsid w:val="00522620"/>
    <w:rsid w:val="00525656"/>
    <w:rsid w:val="00534A30"/>
    <w:rsid w:val="00534C02"/>
    <w:rsid w:val="005364CD"/>
    <w:rsid w:val="0054264B"/>
    <w:rsid w:val="00542E2A"/>
    <w:rsid w:val="00543786"/>
    <w:rsid w:val="00552FDA"/>
    <w:rsid w:val="005533D7"/>
    <w:rsid w:val="00554CD0"/>
    <w:rsid w:val="00555DAC"/>
    <w:rsid w:val="005703DE"/>
    <w:rsid w:val="005837D4"/>
    <w:rsid w:val="0058464E"/>
    <w:rsid w:val="0058570A"/>
    <w:rsid w:val="00585824"/>
    <w:rsid w:val="00587FE6"/>
    <w:rsid w:val="00593A1A"/>
    <w:rsid w:val="00594059"/>
    <w:rsid w:val="00595D06"/>
    <w:rsid w:val="005A01CB"/>
    <w:rsid w:val="005A0385"/>
    <w:rsid w:val="005A28C7"/>
    <w:rsid w:val="005A58FF"/>
    <w:rsid w:val="005A5EAF"/>
    <w:rsid w:val="005A64C0"/>
    <w:rsid w:val="005B3C11"/>
    <w:rsid w:val="005B6487"/>
    <w:rsid w:val="005C1C28"/>
    <w:rsid w:val="005C4050"/>
    <w:rsid w:val="005C6DB5"/>
    <w:rsid w:val="005D0051"/>
    <w:rsid w:val="005D0325"/>
    <w:rsid w:val="005D0ADA"/>
    <w:rsid w:val="005D7CEF"/>
    <w:rsid w:val="005E19E7"/>
    <w:rsid w:val="005E49E9"/>
    <w:rsid w:val="005F057C"/>
    <w:rsid w:val="005F6CF1"/>
    <w:rsid w:val="006022B1"/>
    <w:rsid w:val="00603844"/>
    <w:rsid w:val="0061092C"/>
    <w:rsid w:val="0061716C"/>
    <w:rsid w:val="0062409A"/>
    <w:rsid w:val="006243A1"/>
    <w:rsid w:val="0062693C"/>
    <w:rsid w:val="00626D36"/>
    <w:rsid w:val="00627B96"/>
    <w:rsid w:val="00627E7A"/>
    <w:rsid w:val="0063101D"/>
    <w:rsid w:val="00632E56"/>
    <w:rsid w:val="00633F6D"/>
    <w:rsid w:val="00635482"/>
    <w:rsid w:val="00635CBA"/>
    <w:rsid w:val="006361E7"/>
    <w:rsid w:val="00641787"/>
    <w:rsid w:val="0064338B"/>
    <w:rsid w:val="00643A30"/>
    <w:rsid w:val="00643B01"/>
    <w:rsid w:val="006460DF"/>
    <w:rsid w:val="00646542"/>
    <w:rsid w:val="006504F4"/>
    <w:rsid w:val="00653423"/>
    <w:rsid w:val="00654302"/>
    <w:rsid w:val="00654BC9"/>
    <w:rsid w:val="006552FD"/>
    <w:rsid w:val="006600F5"/>
    <w:rsid w:val="00663AF3"/>
    <w:rsid w:val="006651DB"/>
    <w:rsid w:val="00665D5B"/>
    <w:rsid w:val="00666701"/>
    <w:rsid w:val="00666B6C"/>
    <w:rsid w:val="006766E8"/>
    <w:rsid w:val="00682682"/>
    <w:rsid w:val="00682702"/>
    <w:rsid w:val="00690F6B"/>
    <w:rsid w:val="00692368"/>
    <w:rsid w:val="00694586"/>
    <w:rsid w:val="00695872"/>
    <w:rsid w:val="006A2EBC"/>
    <w:rsid w:val="006A5EA0"/>
    <w:rsid w:val="006A783B"/>
    <w:rsid w:val="006A7B33"/>
    <w:rsid w:val="006B3945"/>
    <w:rsid w:val="006B4E13"/>
    <w:rsid w:val="006B75DD"/>
    <w:rsid w:val="006C3D8D"/>
    <w:rsid w:val="006C3E69"/>
    <w:rsid w:val="006C67E0"/>
    <w:rsid w:val="006C7ABA"/>
    <w:rsid w:val="006D0D60"/>
    <w:rsid w:val="006D1122"/>
    <w:rsid w:val="006D1681"/>
    <w:rsid w:val="006D3C00"/>
    <w:rsid w:val="006E1DB8"/>
    <w:rsid w:val="006E3675"/>
    <w:rsid w:val="006E44B3"/>
    <w:rsid w:val="006E4A7F"/>
    <w:rsid w:val="006E7807"/>
    <w:rsid w:val="006F0E76"/>
    <w:rsid w:val="006F4E8F"/>
    <w:rsid w:val="006F79D1"/>
    <w:rsid w:val="00704DF6"/>
    <w:rsid w:val="0070651C"/>
    <w:rsid w:val="0070669E"/>
    <w:rsid w:val="007132A3"/>
    <w:rsid w:val="00716421"/>
    <w:rsid w:val="0072267A"/>
    <w:rsid w:val="00722A6D"/>
    <w:rsid w:val="00723A69"/>
    <w:rsid w:val="00724EFB"/>
    <w:rsid w:val="007318AF"/>
    <w:rsid w:val="007336A4"/>
    <w:rsid w:val="00735E3C"/>
    <w:rsid w:val="00737209"/>
    <w:rsid w:val="007419C3"/>
    <w:rsid w:val="007467A7"/>
    <w:rsid w:val="007469DD"/>
    <w:rsid w:val="0074741B"/>
    <w:rsid w:val="0074759E"/>
    <w:rsid w:val="007478EA"/>
    <w:rsid w:val="00751176"/>
    <w:rsid w:val="0075415C"/>
    <w:rsid w:val="007557F9"/>
    <w:rsid w:val="007574CB"/>
    <w:rsid w:val="00763404"/>
    <w:rsid w:val="00763502"/>
    <w:rsid w:val="007657A7"/>
    <w:rsid w:val="00777B87"/>
    <w:rsid w:val="007831A7"/>
    <w:rsid w:val="007913AB"/>
    <w:rsid w:val="007914F7"/>
    <w:rsid w:val="00792F5C"/>
    <w:rsid w:val="0079428E"/>
    <w:rsid w:val="007946B2"/>
    <w:rsid w:val="007950A6"/>
    <w:rsid w:val="007B0B61"/>
    <w:rsid w:val="007B0B89"/>
    <w:rsid w:val="007B1625"/>
    <w:rsid w:val="007B236F"/>
    <w:rsid w:val="007B5C6A"/>
    <w:rsid w:val="007B706E"/>
    <w:rsid w:val="007B71EB"/>
    <w:rsid w:val="007C14C6"/>
    <w:rsid w:val="007C5186"/>
    <w:rsid w:val="007C5304"/>
    <w:rsid w:val="007C53D4"/>
    <w:rsid w:val="007C6205"/>
    <w:rsid w:val="007C686A"/>
    <w:rsid w:val="007C728E"/>
    <w:rsid w:val="007D2C53"/>
    <w:rsid w:val="007D3522"/>
    <w:rsid w:val="007D3D60"/>
    <w:rsid w:val="007E1980"/>
    <w:rsid w:val="007E3E4B"/>
    <w:rsid w:val="007E4B76"/>
    <w:rsid w:val="007E5998"/>
    <w:rsid w:val="007E5EA8"/>
    <w:rsid w:val="007F0CF1"/>
    <w:rsid w:val="007F12A5"/>
    <w:rsid w:val="007F2DA5"/>
    <w:rsid w:val="007F4C4F"/>
    <w:rsid w:val="007F4CF1"/>
    <w:rsid w:val="007F758D"/>
    <w:rsid w:val="007F7D52"/>
    <w:rsid w:val="008053C4"/>
    <w:rsid w:val="0080654C"/>
    <w:rsid w:val="008071C6"/>
    <w:rsid w:val="00811506"/>
    <w:rsid w:val="008168E3"/>
    <w:rsid w:val="00817A00"/>
    <w:rsid w:val="008204E8"/>
    <w:rsid w:val="00821545"/>
    <w:rsid w:val="0082512C"/>
    <w:rsid w:val="008259F9"/>
    <w:rsid w:val="00835DB3"/>
    <w:rsid w:val="0083617B"/>
    <w:rsid w:val="008371BD"/>
    <w:rsid w:val="0083767E"/>
    <w:rsid w:val="00840257"/>
    <w:rsid w:val="008405AD"/>
    <w:rsid w:val="00840B61"/>
    <w:rsid w:val="008427A3"/>
    <w:rsid w:val="00847566"/>
    <w:rsid w:val="008504A8"/>
    <w:rsid w:val="00850F51"/>
    <w:rsid w:val="0085282E"/>
    <w:rsid w:val="00857896"/>
    <w:rsid w:val="00861580"/>
    <w:rsid w:val="0087198C"/>
    <w:rsid w:val="00872C1F"/>
    <w:rsid w:val="0087373A"/>
    <w:rsid w:val="00873B42"/>
    <w:rsid w:val="008750A4"/>
    <w:rsid w:val="00882F7D"/>
    <w:rsid w:val="00884F76"/>
    <w:rsid w:val="008856D8"/>
    <w:rsid w:val="00887FE6"/>
    <w:rsid w:val="00892E82"/>
    <w:rsid w:val="0089545A"/>
    <w:rsid w:val="00896E6C"/>
    <w:rsid w:val="008A218B"/>
    <w:rsid w:val="008A2641"/>
    <w:rsid w:val="008A559E"/>
    <w:rsid w:val="008A5A33"/>
    <w:rsid w:val="008A6EB6"/>
    <w:rsid w:val="008B4E03"/>
    <w:rsid w:val="008C1B58"/>
    <w:rsid w:val="008C39AE"/>
    <w:rsid w:val="008C590D"/>
    <w:rsid w:val="008D4BC4"/>
    <w:rsid w:val="008D715F"/>
    <w:rsid w:val="008E031B"/>
    <w:rsid w:val="008E7029"/>
    <w:rsid w:val="008E74F2"/>
    <w:rsid w:val="008E7EF6"/>
    <w:rsid w:val="008F1F98"/>
    <w:rsid w:val="008F6758"/>
    <w:rsid w:val="009040DD"/>
    <w:rsid w:val="00905B47"/>
    <w:rsid w:val="00906819"/>
    <w:rsid w:val="00911FBF"/>
    <w:rsid w:val="0091331C"/>
    <w:rsid w:val="009279DE"/>
    <w:rsid w:val="00930116"/>
    <w:rsid w:val="0093034D"/>
    <w:rsid w:val="009345A4"/>
    <w:rsid w:val="009347EC"/>
    <w:rsid w:val="00936C7D"/>
    <w:rsid w:val="00940825"/>
    <w:rsid w:val="0094212C"/>
    <w:rsid w:val="0094370B"/>
    <w:rsid w:val="00945FCF"/>
    <w:rsid w:val="00947577"/>
    <w:rsid w:val="00953A42"/>
    <w:rsid w:val="00953F02"/>
    <w:rsid w:val="00954689"/>
    <w:rsid w:val="009617C9"/>
    <w:rsid w:val="00961C93"/>
    <w:rsid w:val="00965324"/>
    <w:rsid w:val="0096609F"/>
    <w:rsid w:val="0097091E"/>
    <w:rsid w:val="00974CAC"/>
    <w:rsid w:val="00974CF5"/>
    <w:rsid w:val="009760D3"/>
    <w:rsid w:val="00977132"/>
    <w:rsid w:val="00981A4B"/>
    <w:rsid w:val="00982501"/>
    <w:rsid w:val="00985CCA"/>
    <w:rsid w:val="009875DB"/>
    <w:rsid w:val="009877D3"/>
    <w:rsid w:val="00994E8F"/>
    <w:rsid w:val="009951DC"/>
    <w:rsid w:val="009959BB"/>
    <w:rsid w:val="00997158"/>
    <w:rsid w:val="009A1366"/>
    <w:rsid w:val="009A3A7C"/>
    <w:rsid w:val="009A61C4"/>
    <w:rsid w:val="009B22CD"/>
    <w:rsid w:val="009B2ADB"/>
    <w:rsid w:val="009B603A"/>
    <w:rsid w:val="009B77F1"/>
    <w:rsid w:val="009C02E0"/>
    <w:rsid w:val="009C0591"/>
    <w:rsid w:val="009C20EE"/>
    <w:rsid w:val="009C2B9B"/>
    <w:rsid w:val="009C2D0E"/>
    <w:rsid w:val="009C3DAC"/>
    <w:rsid w:val="009C42E0"/>
    <w:rsid w:val="009C60C0"/>
    <w:rsid w:val="009D5362"/>
    <w:rsid w:val="009D60E7"/>
    <w:rsid w:val="009E1415"/>
    <w:rsid w:val="009E1BA8"/>
    <w:rsid w:val="009E6116"/>
    <w:rsid w:val="009E7A64"/>
    <w:rsid w:val="009F12F3"/>
    <w:rsid w:val="009F5759"/>
    <w:rsid w:val="00A02E43"/>
    <w:rsid w:val="00A065F9"/>
    <w:rsid w:val="00A07F34"/>
    <w:rsid w:val="00A1233E"/>
    <w:rsid w:val="00A16BB5"/>
    <w:rsid w:val="00A16F87"/>
    <w:rsid w:val="00A22154"/>
    <w:rsid w:val="00A2217C"/>
    <w:rsid w:val="00A25C38"/>
    <w:rsid w:val="00A340B0"/>
    <w:rsid w:val="00A36BBE"/>
    <w:rsid w:val="00A37424"/>
    <w:rsid w:val="00A4035E"/>
    <w:rsid w:val="00A4307A"/>
    <w:rsid w:val="00A47EBB"/>
    <w:rsid w:val="00A50FA4"/>
    <w:rsid w:val="00A51CDD"/>
    <w:rsid w:val="00A617C7"/>
    <w:rsid w:val="00A63B21"/>
    <w:rsid w:val="00A6730D"/>
    <w:rsid w:val="00A708B1"/>
    <w:rsid w:val="00A71625"/>
    <w:rsid w:val="00A71B9B"/>
    <w:rsid w:val="00A71F67"/>
    <w:rsid w:val="00A73D5B"/>
    <w:rsid w:val="00A74FE1"/>
    <w:rsid w:val="00A750BB"/>
    <w:rsid w:val="00A751C7"/>
    <w:rsid w:val="00A842AF"/>
    <w:rsid w:val="00A87844"/>
    <w:rsid w:val="00AA038C"/>
    <w:rsid w:val="00AA671C"/>
    <w:rsid w:val="00AA7A09"/>
    <w:rsid w:val="00AB0BE7"/>
    <w:rsid w:val="00AB18D2"/>
    <w:rsid w:val="00AB3B50"/>
    <w:rsid w:val="00AB3F91"/>
    <w:rsid w:val="00AC05B1"/>
    <w:rsid w:val="00AC3745"/>
    <w:rsid w:val="00AC3FCD"/>
    <w:rsid w:val="00AC698E"/>
    <w:rsid w:val="00AD356C"/>
    <w:rsid w:val="00AE2914"/>
    <w:rsid w:val="00AE6D15"/>
    <w:rsid w:val="00AF2E66"/>
    <w:rsid w:val="00AF6063"/>
    <w:rsid w:val="00B0012A"/>
    <w:rsid w:val="00B04182"/>
    <w:rsid w:val="00B0757C"/>
    <w:rsid w:val="00B07AE3"/>
    <w:rsid w:val="00B11430"/>
    <w:rsid w:val="00B15BB3"/>
    <w:rsid w:val="00B1655E"/>
    <w:rsid w:val="00B20245"/>
    <w:rsid w:val="00B20598"/>
    <w:rsid w:val="00B215A3"/>
    <w:rsid w:val="00B22822"/>
    <w:rsid w:val="00B23682"/>
    <w:rsid w:val="00B257F2"/>
    <w:rsid w:val="00B25E90"/>
    <w:rsid w:val="00B302F4"/>
    <w:rsid w:val="00B353EB"/>
    <w:rsid w:val="00B439C4"/>
    <w:rsid w:val="00B43B7A"/>
    <w:rsid w:val="00B4535E"/>
    <w:rsid w:val="00B51AB7"/>
    <w:rsid w:val="00B524BD"/>
    <w:rsid w:val="00B52A8C"/>
    <w:rsid w:val="00B57BD0"/>
    <w:rsid w:val="00B636A8"/>
    <w:rsid w:val="00B6504B"/>
    <w:rsid w:val="00B665C6"/>
    <w:rsid w:val="00B66654"/>
    <w:rsid w:val="00B7194F"/>
    <w:rsid w:val="00B73CF7"/>
    <w:rsid w:val="00B805AF"/>
    <w:rsid w:val="00B810BB"/>
    <w:rsid w:val="00B81BD1"/>
    <w:rsid w:val="00B83A31"/>
    <w:rsid w:val="00B83F78"/>
    <w:rsid w:val="00B84EB0"/>
    <w:rsid w:val="00B86539"/>
    <w:rsid w:val="00B869EC"/>
    <w:rsid w:val="00B87E43"/>
    <w:rsid w:val="00B9397A"/>
    <w:rsid w:val="00B9633D"/>
    <w:rsid w:val="00B97082"/>
    <w:rsid w:val="00BA1AE4"/>
    <w:rsid w:val="00BA2BD7"/>
    <w:rsid w:val="00BA2EBE"/>
    <w:rsid w:val="00BA6367"/>
    <w:rsid w:val="00BB0F28"/>
    <w:rsid w:val="00BB458A"/>
    <w:rsid w:val="00BB4AE8"/>
    <w:rsid w:val="00BB7C08"/>
    <w:rsid w:val="00BC256F"/>
    <w:rsid w:val="00BD00D3"/>
    <w:rsid w:val="00BD094C"/>
    <w:rsid w:val="00BD144B"/>
    <w:rsid w:val="00BD1659"/>
    <w:rsid w:val="00BD3AA9"/>
    <w:rsid w:val="00BD4A18"/>
    <w:rsid w:val="00BD6DB2"/>
    <w:rsid w:val="00BE11CF"/>
    <w:rsid w:val="00BE21AB"/>
    <w:rsid w:val="00BE55CB"/>
    <w:rsid w:val="00BF0807"/>
    <w:rsid w:val="00BF1780"/>
    <w:rsid w:val="00BF203B"/>
    <w:rsid w:val="00BF4025"/>
    <w:rsid w:val="00BF617A"/>
    <w:rsid w:val="00C0379D"/>
    <w:rsid w:val="00C03821"/>
    <w:rsid w:val="00C03931"/>
    <w:rsid w:val="00C05FE3"/>
    <w:rsid w:val="00C07008"/>
    <w:rsid w:val="00C105E7"/>
    <w:rsid w:val="00C148AA"/>
    <w:rsid w:val="00C16158"/>
    <w:rsid w:val="00C16311"/>
    <w:rsid w:val="00C2136D"/>
    <w:rsid w:val="00C214EE"/>
    <w:rsid w:val="00C2314B"/>
    <w:rsid w:val="00C24971"/>
    <w:rsid w:val="00C26BE5"/>
    <w:rsid w:val="00C26E4D"/>
    <w:rsid w:val="00C27909"/>
    <w:rsid w:val="00C27B03"/>
    <w:rsid w:val="00C3054C"/>
    <w:rsid w:val="00C314E1"/>
    <w:rsid w:val="00C32A18"/>
    <w:rsid w:val="00C34397"/>
    <w:rsid w:val="00C37865"/>
    <w:rsid w:val="00C4095D"/>
    <w:rsid w:val="00C42064"/>
    <w:rsid w:val="00C42630"/>
    <w:rsid w:val="00C544E7"/>
    <w:rsid w:val="00C601D2"/>
    <w:rsid w:val="00C618AA"/>
    <w:rsid w:val="00C641CF"/>
    <w:rsid w:val="00C64E85"/>
    <w:rsid w:val="00C65BCC"/>
    <w:rsid w:val="00C66970"/>
    <w:rsid w:val="00C6744A"/>
    <w:rsid w:val="00C809B0"/>
    <w:rsid w:val="00C83FF2"/>
    <w:rsid w:val="00C8691C"/>
    <w:rsid w:val="00C86C0E"/>
    <w:rsid w:val="00C87858"/>
    <w:rsid w:val="00C933D9"/>
    <w:rsid w:val="00CA168A"/>
    <w:rsid w:val="00CA357E"/>
    <w:rsid w:val="00CA44F9"/>
    <w:rsid w:val="00CA4A69"/>
    <w:rsid w:val="00CB2815"/>
    <w:rsid w:val="00CC2180"/>
    <w:rsid w:val="00CC2F37"/>
    <w:rsid w:val="00CC3E0C"/>
    <w:rsid w:val="00CC4372"/>
    <w:rsid w:val="00CC58D3"/>
    <w:rsid w:val="00CC784D"/>
    <w:rsid w:val="00CD09CC"/>
    <w:rsid w:val="00CD1AF8"/>
    <w:rsid w:val="00CD33D7"/>
    <w:rsid w:val="00CE2985"/>
    <w:rsid w:val="00CE7B33"/>
    <w:rsid w:val="00CF3443"/>
    <w:rsid w:val="00CF669C"/>
    <w:rsid w:val="00D0337B"/>
    <w:rsid w:val="00D0340C"/>
    <w:rsid w:val="00D039BA"/>
    <w:rsid w:val="00D0441D"/>
    <w:rsid w:val="00D079B2"/>
    <w:rsid w:val="00D114E9"/>
    <w:rsid w:val="00D123E7"/>
    <w:rsid w:val="00D1682E"/>
    <w:rsid w:val="00D20919"/>
    <w:rsid w:val="00D20CA3"/>
    <w:rsid w:val="00D25B84"/>
    <w:rsid w:val="00D26938"/>
    <w:rsid w:val="00D274FD"/>
    <w:rsid w:val="00D27B6A"/>
    <w:rsid w:val="00D310CB"/>
    <w:rsid w:val="00D334B3"/>
    <w:rsid w:val="00D429C6"/>
    <w:rsid w:val="00D45551"/>
    <w:rsid w:val="00D47748"/>
    <w:rsid w:val="00D546FE"/>
    <w:rsid w:val="00D54CC3"/>
    <w:rsid w:val="00D56C52"/>
    <w:rsid w:val="00D6041A"/>
    <w:rsid w:val="00D623F8"/>
    <w:rsid w:val="00D633EB"/>
    <w:rsid w:val="00D63581"/>
    <w:rsid w:val="00D64F1F"/>
    <w:rsid w:val="00D65076"/>
    <w:rsid w:val="00D73A9F"/>
    <w:rsid w:val="00D75D67"/>
    <w:rsid w:val="00D760DF"/>
    <w:rsid w:val="00D81361"/>
    <w:rsid w:val="00D82470"/>
    <w:rsid w:val="00D826B3"/>
    <w:rsid w:val="00D82FF7"/>
    <w:rsid w:val="00D83570"/>
    <w:rsid w:val="00D8382E"/>
    <w:rsid w:val="00D847FE"/>
    <w:rsid w:val="00D92046"/>
    <w:rsid w:val="00D95C4D"/>
    <w:rsid w:val="00D964EA"/>
    <w:rsid w:val="00D966D0"/>
    <w:rsid w:val="00DA0C59"/>
    <w:rsid w:val="00DA1F56"/>
    <w:rsid w:val="00DA3991"/>
    <w:rsid w:val="00DA6FB8"/>
    <w:rsid w:val="00DB0514"/>
    <w:rsid w:val="00DB11E3"/>
    <w:rsid w:val="00DB6AF5"/>
    <w:rsid w:val="00DB71B2"/>
    <w:rsid w:val="00DB7611"/>
    <w:rsid w:val="00DB7E6C"/>
    <w:rsid w:val="00DC1795"/>
    <w:rsid w:val="00DC6AD5"/>
    <w:rsid w:val="00DD5A29"/>
    <w:rsid w:val="00DD5D9D"/>
    <w:rsid w:val="00DE35CB"/>
    <w:rsid w:val="00DE66D8"/>
    <w:rsid w:val="00DF21E9"/>
    <w:rsid w:val="00DF319A"/>
    <w:rsid w:val="00DF3C11"/>
    <w:rsid w:val="00E00F14"/>
    <w:rsid w:val="00E06386"/>
    <w:rsid w:val="00E070DB"/>
    <w:rsid w:val="00E16E71"/>
    <w:rsid w:val="00E17DA2"/>
    <w:rsid w:val="00E24EB4"/>
    <w:rsid w:val="00E25043"/>
    <w:rsid w:val="00E2778C"/>
    <w:rsid w:val="00E320ED"/>
    <w:rsid w:val="00E324B6"/>
    <w:rsid w:val="00E3298A"/>
    <w:rsid w:val="00E33AFB"/>
    <w:rsid w:val="00E34218"/>
    <w:rsid w:val="00E34E5D"/>
    <w:rsid w:val="00E37BF8"/>
    <w:rsid w:val="00E448F6"/>
    <w:rsid w:val="00E45170"/>
    <w:rsid w:val="00E45E31"/>
    <w:rsid w:val="00E46282"/>
    <w:rsid w:val="00E5216E"/>
    <w:rsid w:val="00E531C3"/>
    <w:rsid w:val="00E55CBD"/>
    <w:rsid w:val="00E57099"/>
    <w:rsid w:val="00E752E0"/>
    <w:rsid w:val="00E77349"/>
    <w:rsid w:val="00E77BF6"/>
    <w:rsid w:val="00E81841"/>
    <w:rsid w:val="00E81953"/>
    <w:rsid w:val="00E82344"/>
    <w:rsid w:val="00E84C82"/>
    <w:rsid w:val="00E84D64"/>
    <w:rsid w:val="00E87408"/>
    <w:rsid w:val="00E9052F"/>
    <w:rsid w:val="00E914C4"/>
    <w:rsid w:val="00E92867"/>
    <w:rsid w:val="00E934F5"/>
    <w:rsid w:val="00E96961"/>
    <w:rsid w:val="00E96E7B"/>
    <w:rsid w:val="00EA1B3D"/>
    <w:rsid w:val="00EA72EC"/>
    <w:rsid w:val="00EB108C"/>
    <w:rsid w:val="00EB11CB"/>
    <w:rsid w:val="00EB1E8F"/>
    <w:rsid w:val="00EB275A"/>
    <w:rsid w:val="00EB4C12"/>
    <w:rsid w:val="00EB5704"/>
    <w:rsid w:val="00EB786A"/>
    <w:rsid w:val="00EC1342"/>
    <w:rsid w:val="00EC1578"/>
    <w:rsid w:val="00EC1C72"/>
    <w:rsid w:val="00EC3CC9"/>
    <w:rsid w:val="00EC5B04"/>
    <w:rsid w:val="00EC5BF3"/>
    <w:rsid w:val="00EC680A"/>
    <w:rsid w:val="00ED16DB"/>
    <w:rsid w:val="00ED2417"/>
    <w:rsid w:val="00ED743C"/>
    <w:rsid w:val="00EE2BED"/>
    <w:rsid w:val="00EE374B"/>
    <w:rsid w:val="00EE5DC3"/>
    <w:rsid w:val="00EF67E7"/>
    <w:rsid w:val="00F003B6"/>
    <w:rsid w:val="00F0096C"/>
    <w:rsid w:val="00F06691"/>
    <w:rsid w:val="00F11BB5"/>
    <w:rsid w:val="00F12486"/>
    <w:rsid w:val="00F1417B"/>
    <w:rsid w:val="00F16596"/>
    <w:rsid w:val="00F176FC"/>
    <w:rsid w:val="00F22D20"/>
    <w:rsid w:val="00F23696"/>
    <w:rsid w:val="00F23698"/>
    <w:rsid w:val="00F27936"/>
    <w:rsid w:val="00F333C0"/>
    <w:rsid w:val="00F34B99"/>
    <w:rsid w:val="00F35113"/>
    <w:rsid w:val="00F52DAB"/>
    <w:rsid w:val="00F543F0"/>
    <w:rsid w:val="00F625D9"/>
    <w:rsid w:val="00F64FE8"/>
    <w:rsid w:val="00F67147"/>
    <w:rsid w:val="00F71110"/>
    <w:rsid w:val="00F731A8"/>
    <w:rsid w:val="00F80D88"/>
    <w:rsid w:val="00F81D29"/>
    <w:rsid w:val="00F83FC6"/>
    <w:rsid w:val="00F86102"/>
    <w:rsid w:val="00F876CD"/>
    <w:rsid w:val="00F91C4D"/>
    <w:rsid w:val="00F92FD9"/>
    <w:rsid w:val="00F94929"/>
    <w:rsid w:val="00FA00BB"/>
    <w:rsid w:val="00FA3835"/>
    <w:rsid w:val="00FA4F98"/>
    <w:rsid w:val="00FA6684"/>
    <w:rsid w:val="00FA731E"/>
    <w:rsid w:val="00FB2B38"/>
    <w:rsid w:val="00FB601B"/>
    <w:rsid w:val="00FC0FED"/>
    <w:rsid w:val="00FC6358"/>
    <w:rsid w:val="00FD320D"/>
    <w:rsid w:val="00FE02A8"/>
    <w:rsid w:val="00FE23DE"/>
    <w:rsid w:val="00FE4157"/>
    <w:rsid w:val="208B1F19"/>
    <w:rsid w:val="266D479E"/>
    <w:rsid w:val="282F352C"/>
    <w:rsid w:val="283E7803"/>
    <w:rsid w:val="28780D72"/>
    <w:rsid w:val="2BE93BC2"/>
    <w:rsid w:val="2CEE125E"/>
    <w:rsid w:val="352D4364"/>
    <w:rsid w:val="36B35834"/>
    <w:rsid w:val="377D6301"/>
    <w:rsid w:val="3DF03CE1"/>
    <w:rsid w:val="55907F0D"/>
    <w:rsid w:val="587069B7"/>
    <w:rsid w:val="5A5B410B"/>
    <w:rsid w:val="5EDF3A49"/>
    <w:rsid w:val="60E346FB"/>
    <w:rsid w:val="64A05CD3"/>
    <w:rsid w:val="6D0354B8"/>
    <w:rsid w:val="6D05010F"/>
    <w:rsid w:val="6FC85443"/>
    <w:rsid w:val="72AA7669"/>
    <w:rsid w:val="73A15BAB"/>
    <w:rsid w:val="77C01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2"/>
    <w:qFormat/>
    <w:uiPriority w:val="0"/>
    <w:pPr>
      <w:keepNext/>
      <w:keepLines/>
      <w:autoSpaceDN w:val="0"/>
      <w:adjustRightInd w:val="0"/>
      <w:snapToGrid w:val="0"/>
      <w:jc w:val="center"/>
      <w:outlineLvl w:val="0"/>
    </w:pPr>
    <w:rPr>
      <w:rFonts w:eastAsia="楷体_GB2312"/>
      <w:b/>
      <w:bCs/>
      <w:kern w:val="44"/>
      <w:sz w:val="36"/>
      <w:szCs w:val="36"/>
    </w:rPr>
  </w:style>
  <w:style w:type="paragraph" w:styleId="3">
    <w:name w:val="heading 2"/>
    <w:basedOn w:val="1"/>
    <w:next w:val="1"/>
    <w:link w:val="147"/>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8"/>
    <w:unhideWhenUsed/>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tabs>
        <w:tab w:val="right" w:leader="dot" w:pos="9241"/>
      </w:tabs>
      <w:ind w:firstLine="505"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Normal Indent"/>
    <w:basedOn w:val="1"/>
    <w:qFormat/>
    <w:uiPriority w:val="0"/>
    <w:pPr>
      <w:adjustRightInd w:val="0"/>
      <w:spacing w:line="420" w:lineRule="atLeast"/>
      <w:ind w:firstLine="420"/>
      <w:textAlignment w:val="baseline"/>
    </w:pPr>
    <w:rPr>
      <w:rFonts w:ascii="仿宋体" w:eastAsia="仿宋体"/>
      <w:kern w:val="0"/>
      <w:sz w:val="28"/>
      <w:szCs w:val="20"/>
    </w:rPr>
  </w:style>
  <w:style w:type="paragraph" w:styleId="9">
    <w:name w:val="caption"/>
    <w:basedOn w:val="1"/>
    <w:next w:val="1"/>
    <w:qFormat/>
    <w:uiPriority w:val="0"/>
    <w:pPr>
      <w:spacing w:before="152" w:after="160"/>
    </w:pPr>
    <w:rPr>
      <w:rFonts w:ascii="Arial" w:hAnsi="Arial" w:eastAsia="黑体" w:cs="Arial"/>
      <w:sz w:val="20"/>
      <w:szCs w:val="20"/>
    </w:rPr>
  </w:style>
  <w:style w:type="paragraph" w:styleId="10">
    <w:name w:val="index 5"/>
    <w:basedOn w:val="1"/>
    <w:next w:val="1"/>
    <w:qFormat/>
    <w:uiPriority w:val="0"/>
    <w:pPr>
      <w:ind w:left="1050" w:hanging="210"/>
      <w:jc w:val="left"/>
    </w:pPr>
    <w:rPr>
      <w:rFonts w:ascii="Calibri" w:hAnsi="Calibri"/>
      <w:sz w:val="20"/>
      <w:szCs w:val="20"/>
    </w:rPr>
  </w:style>
  <w:style w:type="paragraph" w:styleId="11">
    <w:name w:val="Document Map"/>
    <w:basedOn w:val="1"/>
    <w:semiHidden/>
    <w:qFormat/>
    <w:uiPriority w:val="0"/>
    <w:pPr>
      <w:shd w:val="clear" w:color="auto" w:fill="000080"/>
    </w:pPr>
  </w:style>
  <w:style w:type="paragraph" w:styleId="12">
    <w:name w:val="annotation text"/>
    <w:basedOn w:val="1"/>
    <w:link w:val="145"/>
    <w:qFormat/>
    <w:uiPriority w:val="0"/>
    <w:pPr>
      <w:jc w:val="left"/>
    </w:pPr>
  </w:style>
  <w:style w:type="paragraph" w:styleId="13">
    <w:name w:val="index 6"/>
    <w:basedOn w:val="1"/>
    <w:next w:val="1"/>
    <w:qFormat/>
    <w:uiPriority w:val="0"/>
    <w:pPr>
      <w:ind w:left="1260" w:hanging="210"/>
      <w:jc w:val="left"/>
    </w:pPr>
    <w:rPr>
      <w:rFonts w:ascii="Calibri" w:hAnsi="Calibri"/>
      <w:sz w:val="20"/>
      <w:szCs w:val="20"/>
    </w:rPr>
  </w:style>
  <w:style w:type="paragraph" w:styleId="14">
    <w:name w:val="index 4"/>
    <w:basedOn w:val="1"/>
    <w:next w:val="1"/>
    <w:qFormat/>
    <w:uiPriority w:val="0"/>
    <w:pPr>
      <w:ind w:left="840" w:hanging="210"/>
      <w:jc w:val="left"/>
    </w:pPr>
    <w:rPr>
      <w:rFonts w:ascii="Calibri" w:hAnsi="Calibri"/>
      <w:sz w:val="20"/>
      <w:szCs w:val="20"/>
    </w:rPr>
  </w:style>
  <w:style w:type="paragraph" w:styleId="15">
    <w:name w:val="toc 5"/>
    <w:basedOn w:val="1"/>
    <w:next w:val="1"/>
    <w:semiHidden/>
    <w:qFormat/>
    <w:uiPriority w:val="0"/>
    <w:pPr>
      <w:tabs>
        <w:tab w:val="right" w:leader="dot" w:pos="9241"/>
      </w:tabs>
      <w:ind w:firstLine="300" w:firstLineChars="300"/>
      <w:jc w:val="left"/>
    </w:pPr>
    <w:rPr>
      <w:rFonts w:ascii="宋体"/>
      <w:szCs w:val="21"/>
    </w:rPr>
  </w:style>
  <w:style w:type="paragraph" w:styleId="16">
    <w:name w:val="toc 3"/>
    <w:basedOn w:val="1"/>
    <w:next w:val="1"/>
    <w:qFormat/>
    <w:uiPriority w:val="39"/>
    <w:pPr>
      <w:tabs>
        <w:tab w:val="right" w:leader="dot" w:pos="9241"/>
      </w:tabs>
      <w:ind w:firstLine="102" w:firstLineChars="100"/>
      <w:jc w:val="left"/>
    </w:pPr>
    <w:rPr>
      <w:rFonts w:ascii="宋体"/>
      <w:szCs w:val="21"/>
    </w:rPr>
  </w:style>
  <w:style w:type="paragraph" w:styleId="17">
    <w:name w:val="toc 8"/>
    <w:basedOn w:val="1"/>
    <w:next w:val="1"/>
    <w:semiHidden/>
    <w:qFormat/>
    <w:uiPriority w:val="0"/>
    <w:pPr>
      <w:tabs>
        <w:tab w:val="right" w:leader="dot" w:pos="9241"/>
      </w:tabs>
      <w:ind w:firstLine="607" w:firstLineChars="600"/>
      <w:jc w:val="left"/>
    </w:pPr>
    <w:rPr>
      <w:rFonts w:ascii="宋体"/>
      <w:szCs w:val="21"/>
    </w:rPr>
  </w:style>
  <w:style w:type="paragraph" w:styleId="18">
    <w:name w:val="index 3"/>
    <w:basedOn w:val="1"/>
    <w:next w:val="1"/>
    <w:qFormat/>
    <w:uiPriority w:val="0"/>
    <w:pPr>
      <w:ind w:left="630" w:hanging="210"/>
      <w:jc w:val="left"/>
    </w:pPr>
    <w:rPr>
      <w:rFonts w:ascii="Calibri" w:hAnsi="Calibri"/>
      <w:sz w:val="20"/>
      <w:szCs w:val="20"/>
    </w:rPr>
  </w:style>
  <w:style w:type="paragraph" w:styleId="19">
    <w:name w:val="endnote text"/>
    <w:basedOn w:val="1"/>
    <w:semiHidden/>
    <w:qFormat/>
    <w:uiPriority w:val="0"/>
    <w:pPr>
      <w:snapToGrid w:val="0"/>
      <w:jc w:val="left"/>
    </w:pPr>
  </w:style>
  <w:style w:type="paragraph" w:styleId="20">
    <w:name w:val="Balloon Text"/>
    <w:basedOn w:val="1"/>
    <w:link w:val="144"/>
    <w:semiHidden/>
    <w:unhideWhenUsed/>
    <w:qFormat/>
    <w:uiPriority w:val="0"/>
    <w:rPr>
      <w:rFonts w:ascii="宋体"/>
      <w:sz w:val="18"/>
      <w:szCs w:val="18"/>
    </w:rPr>
  </w:style>
  <w:style w:type="paragraph" w:styleId="21">
    <w:name w:val="footer"/>
    <w:basedOn w:val="1"/>
    <w:qFormat/>
    <w:uiPriority w:val="0"/>
    <w:pPr>
      <w:snapToGrid w:val="0"/>
      <w:ind w:right="210" w:rightChars="100"/>
      <w:jc w:val="right"/>
    </w:pPr>
    <w:rPr>
      <w:sz w:val="18"/>
      <w:szCs w:val="18"/>
    </w:rPr>
  </w:style>
  <w:style w:type="paragraph" w:styleId="22">
    <w:name w:val="header"/>
    <w:basedOn w:val="1"/>
    <w:qFormat/>
    <w:uiPriority w:val="0"/>
    <w:pPr>
      <w:snapToGrid w:val="0"/>
      <w:jc w:val="left"/>
    </w:pPr>
    <w:rPr>
      <w:sz w:val="18"/>
      <w:szCs w:val="18"/>
    </w:rPr>
  </w:style>
  <w:style w:type="paragraph" w:styleId="23">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4">
    <w:name w:val="toc 4"/>
    <w:basedOn w:val="1"/>
    <w:next w:val="1"/>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3" w:firstLineChars="400"/>
      <w:jc w:val="left"/>
    </w:pPr>
    <w:rPr>
      <w:rFonts w:ascii="宋体"/>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1"/>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index 2"/>
    <w:basedOn w:val="1"/>
    <w:next w:val="1"/>
    <w:qFormat/>
    <w:uiPriority w:val="0"/>
    <w:pPr>
      <w:ind w:left="420" w:hanging="210"/>
      <w:jc w:val="left"/>
    </w:pPr>
    <w:rPr>
      <w:rFonts w:ascii="Calibri" w:hAnsi="Calibri"/>
      <w:sz w:val="20"/>
      <w:szCs w:val="20"/>
    </w:rPr>
  </w:style>
  <w:style w:type="paragraph" w:styleId="35">
    <w:name w:val="annotation subject"/>
    <w:basedOn w:val="12"/>
    <w:next w:val="12"/>
    <w:link w:val="150"/>
    <w:semiHidden/>
    <w:unhideWhenUsed/>
    <w:qFormat/>
    <w:uiPriority w:val="0"/>
    <w:pPr>
      <w:jc w:val="both"/>
    </w:pPr>
    <w:rPr>
      <w:b/>
      <w:bCs/>
      <w:sz w:val="20"/>
      <w:szCs w:val="20"/>
    </w:rPr>
  </w:style>
  <w:style w:type="table" w:styleId="37">
    <w:name w:val="Table Grid"/>
    <w:basedOn w:val="3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basedOn w:val="38"/>
    <w:semiHidden/>
    <w:qFormat/>
    <w:uiPriority w:val="0"/>
    <w:rPr>
      <w:vertAlign w:val="superscript"/>
    </w:rPr>
  </w:style>
  <w:style w:type="character" w:styleId="40">
    <w:name w:val="page number"/>
    <w:basedOn w:val="38"/>
    <w:qFormat/>
    <w:uiPriority w:val="0"/>
    <w:rPr>
      <w:rFonts w:ascii="Times New Roman" w:hAnsi="Times New Roman" w:eastAsia="宋体"/>
      <w:sz w:val="18"/>
    </w:rPr>
  </w:style>
  <w:style w:type="character" w:styleId="41">
    <w:name w:val="Hyperlink"/>
    <w:basedOn w:val="38"/>
    <w:qFormat/>
    <w:uiPriority w:val="99"/>
    <w:rPr>
      <w:color w:val="0000FF"/>
      <w:spacing w:val="0"/>
      <w:w w:val="100"/>
      <w:szCs w:val="21"/>
      <w:u w:val="single"/>
    </w:rPr>
  </w:style>
  <w:style w:type="character" w:styleId="42">
    <w:name w:val="annotation reference"/>
    <w:basedOn w:val="38"/>
    <w:qFormat/>
    <w:uiPriority w:val="0"/>
    <w:rPr>
      <w:sz w:val="21"/>
      <w:szCs w:val="21"/>
    </w:rPr>
  </w:style>
  <w:style w:type="character" w:styleId="43">
    <w:name w:val="footnote reference"/>
    <w:basedOn w:val="38"/>
    <w:semiHidden/>
    <w:qFormat/>
    <w:uiPriority w:val="0"/>
    <w:rPr>
      <w:vertAlign w:val="superscript"/>
    </w:rPr>
  </w:style>
  <w:style w:type="character" w:customStyle="1" w:styleId="44">
    <w:name w:val="段 Char"/>
    <w:basedOn w:val="38"/>
    <w:link w:val="27"/>
    <w:qFormat/>
    <w:uiPriority w:val="0"/>
    <w:rPr>
      <w:rFonts w:ascii="宋体"/>
      <w:sz w:val="21"/>
      <w:lang w:val="en-US" w:eastAsia="zh-CN" w:bidi="ar-SA"/>
    </w:rPr>
  </w:style>
  <w:style w:type="paragraph" w:customStyle="1" w:styleId="45">
    <w:name w:val="一级条标题"/>
    <w:next w:val="27"/>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章标题"/>
    <w:next w:val="27"/>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5"/>
    <w:next w:val="27"/>
    <w:qFormat/>
    <w:uiPriority w:val="0"/>
    <w:pPr>
      <w:numPr>
        <w:ilvl w:val="2"/>
      </w:numPr>
      <w:spacing w:before="50" w:after="50"/>
      <w:outlineLvl w:val="3"/>
    </w:pPr>
  </w:style>
  <w:style w:type="paragraph" w:customStyle="1" w:styleId="5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3">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三级条标题"/>
    <w:basedOn w:val="49"/>
    <w:next w:val="27"/>
    <w:qFormat/>
    <w:uiPriority w:val="0"/>
    <w:pPr>
      <w:numPr>
        <w:ilvl w:val="3"/>
      </w:numPr>
      <w:outlineLvl w:val="4"/>
    </w:p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四级条标题"/>
    <w:basedOn w:val="54"/>
    <w:next w:val="27"/>
    <w:qFormat/>
    <w:uiPriority w:val="0"/>
    <w:pPr>
      <w:numPr>
        <w:ilvl w:val="4"/>
      </w:numPr>
      <w:outlineLvl w:val="5"/>
    </w:pPr>
  </w:style>
  <w:style w:type="paragraph" w:customStyle="1" w:styleId="59">
    <w:name w:val="五级条标题"/>
    <w:basedOn w:val="58"/>
    <w:next w:val="27"/>
    <w:qFormat/>
    <w:uiPriority w:val="0"/>
    <w:pPr>
      <w:numPr>
        <w:ilvl w:val="5"/>
      </w:numPr>
      <w:outlineLvl w:val="6"/>
    </w:pPr>
  </w:style>
  <w:style w:type="paragraph" w:customStyle="1" w:styleId="60">
    <w:name w:val="注："/>
    <w:next w:val="2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1">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2">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3">
    <w:name w:val="列项◆（三级）"/>
    <w:basedOn w:val="1"/>
    <w:qFormat/>
    <w:uiPriority w:val="0"/>
    <w:pPr>
      <w:numPr>
        <w:ilvl w:val="2"/>
        <w:numId w:val="3"/>
      </w:numPr>
    </w:pPr>
    <w:rPr>
      <w:rFonts w:ascii="宋体"/>
      <w:szCs w:val="21"/>
    </w:rPr>
  </w:style>
  <w:style w:type="paragraph" w:customStyle="1" w:styleId="6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5">
    <w:name w:val="示例×："/>
    <w:basedOn w:val="48"/>
    <w:qFormat/>
    <w:uiPriority w:val="0"/>
    <w:pPr>
      <w:numPr>
        <w:numId w:val="8"/>
      </w:numPr>
      <w:spacing w:before="0" w:beforeLines="0" w:after="0" w:afterLines="0"/>
      <w:outlineLvl w:val="9"/>
    </w:pPr>
    <w:rPr>
      <w:rFonts w:ascii="宋体" w:eastAsia="宋体"/>
      <w:sz w:val="18"/>
      <w:szCs w:val="18"/>
    </w:rPr>
  </w:style>
  <w:style w:type="paragraph" w:customStyle="1" w:styleId="66">
    <w:name w:val="二级无"/>
    <w:basedOn w:val="49"/>
    <w:qFormat/>
    <w:uiPriority w:val="0"/>
    <w:pPr>
      <w:spacing w:before="0" w:beforeLines="0" w:after="0" w:afterLines="0"/>
    </w:pPr>
    <w:rPr>
      <w:rFonts w:ascii="宋体" w:eastAsia="宋体"/>
    </w:rPr>
  </w:style>
  <w:style w:type="paragraph" w:customStyle="1" w:styleId="67">
    <w:name w:val="注：（正文）"/>
    <w:basedOn w:val="60"/>
    <w:next w:val="27"/>
    <w:qFormat/>
    <w:uiPriority w:val="0"/>
  </w:style>
  <w:style w:type="paragraph" w:customStyle="1" w:styleId="68">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2">
    <w:name w:val="标准书眉_偶数页"/>
    <w:basedOn w:val="47"/>
    <w:next w:val="1"/>
    <w:qFormat/>
    <w:uiPriority w:val="0"/>
    <w:pPr>
      <w:jc w:val="left"/>
    </w:p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5">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6">
    <w:name w:val="发布"/>
    <w:basedOn w:val="38"/>
    <w:qFormat/>
    <w:uiPriority w:val="0"/>
    <w:rPr>
      <w:rFonts w:ascii="黑体" w:eastAsia="黑体"/>
      <w:spacing w:val="85"/>
      <w:w w:val="100"/>
      <w:position w:val="3"/>
      <w:sz w:val="28"/>
      <w:szCs w:val="28"/>
    </w:rPr>
  </w:style>
  <w:style w:type="paragraph" w:customStyle="1" w:styleId="77">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2">
    <w:name w:val="封面标准英文名称"/>
    <w:basedOn w:val="81"/>
    <w:qFormat/>
    <w:uiPriority w:val="0"/>
    <w:pPr>
      <w:framePr w:wrap="around"/>
      <w:spacing w:before="370" w:line="400" w:lineRule="exact"/>
    </w:pPr>
    <w:rPr>
      <w:rFonts w:ascii="Times New Roman"/>
      <w:sz w:val="28"/>
      <w:szCs w:val="28"/>
    </w:rPr>
  </w:style>
  <w:style w:type="paragraph" w:customStyle="1" w:styleId="83">
    <w:name w:val="封面一致性程度标识"/>
    <w:basedOn w:val="82"/>
    <w:qFormat/>
    <w:uiPriority w:val="0"/>
    <w:pPr>
      <w:framePr w:wrap="around"/>
      <w:spacing w:before="440"/>
    </w:pPr>
    <w:rPr>
      <w:rFonts w:ascii="宋体" w:eastAsia="宋体"/>
    </w:rPr>
  </w:style>
  <w:style w:type="paragraph" w:customStyle="1" w:styleId="84">
    <w:name w:val="封面标准文稿类别"/>
    <w:basedOn w:val="83"/>
    <w:qFormat/>
    <w:uiPriority w:val="0"/>
    <w:pPr>
      <w:framePr w:wrap="around"/>
      <w:spacing w:after="160" w:line="240" w:lineRule="auto"/>
    </w:pPr>
    <w:rPr>
      <w:sz w:val="24"/>
    </w:rPr>
  </w:style>
  <w:style w:type="paragraph" w:customStyle="1" w:styleId="85">
    <w:name w:val="封面标准文稿编辑信息"/>
    <w:basedOn w:val="84"/>
    <w:qFormat/>
    <w:uiPriority w:val="0"/>
    <w:pPr>
      <w:framePr w:wrap="around"/>
      <w:spacing w:before="180" w:line="180" w:lineRule="exact"/>
    </w:pPr>
    <w:rPr>
      <w:sz w:val="21"/>
    </w:rPr>
  </w:style>
  <w:style w:type="paragraph" w:customStyle="1" w:styleId="86">
    <w:name w:val="封面正文"/>
    <w:qFormat/>
    <w:uiPriority w:val="0"/>
    <w:pPr>
      <w:jc w:val="both"/>
    </w:pPr>
    <w:rPr>
      <w:rFonts w:ascii="Times New Roman" w:hAnsi="Times New Roman" w:eastAsia="宋体" w:cs="Times New Roman"/>
      <w:lang w:val="en-US" w:eastAsia="zh-CN" w:bidi="ar-SA"/>
    </w:rPr>
  </w:style>
  <w:style w:type="paragraph" w:customStyle="1" w:styleId="87">
    <w:name w:val="附录标识"/>
    <w:basedOn w:val="1"/>
    <w:next w:val="27"/>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8">
    <w:name w:val="附录标题"/>
    <w:basedOn w:val="27"/>
    <w:next w:val="27"/>
    <w:qFormat/>
    <w:uiPriority w:val="0"/>
    <w:pPr>
      <w:ind w:firstLine="0" w:firstLineChars="0"/>
      <w:jc w:val="center"/>
    </w:pPr>
    <w:rPr>
      <w:rFonts w:ascii="黑体" w:eastAsia="黑体"/>
    </w:rPr>
  </w:style>
  <w:style w:type="paragraph" w:customStyle="1" w:styleId="89">
    <w:name w:val="附录表标号"/>
    <w:basedOn w:val="1"/>
    <w:next w:val="27"/>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0">
    <w:name w:val="附录表标题"/>
    <w:basedOn w:val="1"/>
    <w:next w:val="27"/>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1">
    <w:name w:val="附录二级条标题"/>
    <w:basedOn w:val="1"/>
    <w:next w:val="27"/>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2">
    <w:name w:val="附录二级无"/>
    <w:basedOn w:val="91"/>
    <w:qFormat/>
    <w:uiPriority w:val="0"/>
    <w:pPr>
      <w:tabs>
        <w:tab w:val="clear" w:pos="360"/>
      </w:tabs>
      <w:spacing w:before="0" w:beforeLines="0" w:after="0" w:afterLines="0"/>
    </w:pPr>
    <w:rPr>
      <w:rFonts w:ascii="宋体" w:eastAsia="宋体"/>
      <w:szCs w:val="21"/>
    </w:rPr>
  </w:style>
  <w:style w:type="paragraph" w:customStyle="1" w:styleId="93">
    <w:name w:val="附录公式"/>
    <w:basedOn w:val="27"/>
    <w:next w:val="27"/>
    <w:link w:val="94"/>
    <w:qFormat/>
    <w:uiPriority w:val="0"/>
  </w:style>
  <w:style w:type="character" w:customStyle="1" w:styleId="94">
    <w:name w:val="附录公式 Char"/>
    <w:basedOn w:val="44"/>
    <w:link w:val="93"/>
    <w:qFormat/>
    <w:uiPriority w:val="0"/>
    <w:rPr>
      <w:rFonts w:ascii="宋体"/>
      <w:sz w:val="21"/>
      <w:lang w:val="en-US" w:eastAsia="zh-CN" w:bidi="ar-SA"/>
    </w:rPr>
  </w:style>
  <w:style w:type="paragraph" w:customStyle="1" w:styleId="95">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96">
    <w:name w:val="附录三级条标题"/>
    <w:basedOn w:val="91"/>
    <w:next w:val="27"/>
    <w:qFormat/>
    <w:uiPriority w:val="0"/>
    <w:pPr>
      <w:numPr>
        <w:ilvl w:val="4"/>
      </w:numPr>
      <w:outlineLvl w:val="4"/>
    </w:pPr>
  </w:style>
  <w:style w:type="paragraph" w:customStyle="1" w:styleId="97">
    <w:name w:val="附录三级无"/>
    <w:basedOn w:val="96"/>
    <w:qFormat/>
    <w:uiPriority w:val="0"/>
    <w:pPr>
      <w:tabs>
        <w:tab w:val="clear" w:pos="360"/>
      </w:tabs>
      <w:spacing w:before="0" w:beforeLines="0" w:after="0" w:afterLines="0"/>
    </w:pPr>
    <w:rPr>
      <w:rFonts w:ascii="宋体" w:eastAsia="宋体"/>
      <w:szCs w:val="21"/>
    </w:rPr>
  </w:style>
  <w:style w:type="paragraph" w:customStyle="1" w:styleId="98">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9">
    <w:name w:val="附录四级条标题"/>
    <w:basedOn w:val="96"/>
    <w:next w:val="27"/>
    <w:qFormat/>
    <w:uiPriority w:val="0"/>
    <w:pPr>
      <w:numPr>
        <w:ilvl w:val="5"/>
      </w:numPr>
      <w:outlineLvl w:val="5"/>
    </w:pPr>
  </w:style>
  <w:style w:type="paragraph" w:customStyle="1" w:styleId="100">
    <w:name w:val="附录四级无"/>
    <w:basedOn w:val="99"/>
    <w:qFormat/>
    <w:uiPriority w:val="0"/>
    <w:pPr>
      <w:tabs>
        <w:tab w:val="clear" w:pos="360"/>
      </w:tabs>
      <w:spacing w:before="0" w:beforeLines="0" w:after="0" w:afterLines="0"/>
    </w:pPr>
    <w:rPr>
      <w:rFonts w:ascii="宋体" w:eastAsia="宋体"/>
      <w:szCs w:val="21"/>
    </w:rPr>
  </w:style>
  <w:style w:type="paragraph" w:customStyle="1" w:styleId="101">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2">
    <w:name w:val="附录图标题"/>
    <w:basedOn w:val="1"/>
    <w:next w:val="27"/>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3">
    <w:name w:val="附录五级条标题"/>
    <w:basedOn w:val="99"/>
    <w:next w:val="27"/>
    <w:qFormat/>
    <w:uiPriority w:val="0"/>
    <w:pPr>
      <w:numPr>
        <w:ilvl w:val="6"/>
      </w:numPr>
      <w:outlineLvl w:val="6"/>
    </w:pPr>
  </w:style>
  <w:style w:type="paragraph" w:customStyle="1" w:styleId="104">
    <w:name w:val="附录五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章标题"/>
    <w:next w:val="27"/>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6">
    <w:name w:val="附录一级条标题"/>
    <w:basedOn w:val="105"/>
    <w:next w:val="27"/>
    <w:qFormat/>
    <w:uiPriority w:val="0"/>
    <w:pPr>
      <w:numPr>
        <w:ilvl w:val="2"/>
      </w:numPr>
      <w:autoSpaceDN w:val="0"/>
      <w:spacing w:before="50" w:beforeLines="50" w:after="50" w:afterLines="50"/>
      <w:outlineLvl w:val="2"/>
    </w:pPr>
  </w:style>
  <w:style w:type="paragraph" w:customStyle="1" w:styleId="107">
    <w:name w:val="附录一级无"/>
    <w:basedOn w:val="106"/>
    <w:qFormat/>
    <w:uiPriority w:val="0"/>
    <w:pPr>
      <w:tabs>
        <w:tab w:val="clear" w:pos="360"/>
      </w:tabs>
      <w:spacing w:before="0" w:beforeLines="0" w:after="0" w:afterLines="0"/>
    </w:pPr>
    <w:rPr>
      <w:rFonts w:ascii="宋体" w:eastAsia="宋体"/>
      <w:szCs w:val="21"/>
    </w:rPr>
  </w:style>
  <w:style w:type="paragraph" w:customStyle="1" w:styleId="108">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其他标准标志"/>
    <w:basedOn w:val="69"/>
    <w:qFormat/>
    <w:uiPriority w:val="0"/>
    <w:pPr>
      <w:framePr w:w="6101" w:wrap="around" w:vAnchor="page" w:hAnchor="page" w:x="4673" w:y="942"/>
    </w:pPr>
    <w:rPr>
      <w:w w:val="130"/>
    </w:rPr>
  </w:style>
  <w:style w:type="paragraph" w:customStyle="1" w:styleId="11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4">
    <w:name w:val="其他发布部门"/>
    <w:basedOn w:val="77"/>
    <w:qFormat/>
    <w:uiPriority w:val="0"/>
    <w:pPr>
      <w:framePr w:wrap="around" w:y="15310"/>
      <w:spacing w:line="0" w:lineRule="atLeast"/>
    </w:pPr>
    <w:rPr>
      <w:rFonts w:ascii="黑体" w:eastAsia="黑体"/>
      <w:b w:val="0"/>
    </w:rPr>
  </w:style>
  <w:style w:type="paragraph" w:customStyle="1" w:styleId="115">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6">
    <w:name w:val="三级无"/>
    <w:basedOn w:val="54"/>
    <w:qFormat/>
    <w:uiPriority w:val="0"/>
    <w:pPr>
      <w:spacing w:before="0" w:beforeLines="0" w:after="0" w:afterLines="0"/>
    </w:pPr>
    <w:rPr>
      <w:rFonts w:ascii="宋体" w:eastAsia="宋体"/>
    </w:rPr>
  </w:style>
  <w:style w:type="paragraph" w:customStyle="1" w:styleId="117">
    <w:name w:val="实施日期"/>
    <w:basedOn w:val="78"/>
    <w:qFormat/>
    <w:uiPriority w:val="0"/>
    <w:pPr>
      <w:framePr w:wrap="around" w:vAnchor="page" w:hAnchor="text"/>
      <w:jc w:val="right"/>
    </w:pPr>
  </w:style>
  <w:style w:type="paragraph" w:customStyle="1" w:styleId="118">
    <w:name w:val="示例后文字"/>
    <w:basedOn w:val="27"/>
    <w:next w:val="27"/>
    <w:qFormat/>
    <w:uiPriority w:val="0"/>
    <w:pPr>
      <w:ind w:firstLine="360"/>
    </w:pPr>
    <w:rPr>
      <w:sz w:val="18"/>
    </w:rPr>
  </w:style>
  <w:style w:type="paragraph" w:customStyle="1" w:styleId="119">
    <w:name w:val="首示例"/>
    <w:next w:val="27"/>
    <w:link w:val="120"/>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0">
    <w:name w:val="首示例 Char"/>
    <w:basedOn w:val="38"/>
    <w:link w:val="119"/>
    <w:qFormat/>
    <w:uiPriority w:val="0"/>
    <w:rPr>
      <w:rFonts w:ascii="宋体" w:hAnsi="宋体"/>
      <w:kern w:val="2"/>
      <w:sz w:val="18"/>
      <w:szCs w:val="18"/>
    </w:rPr>
  </w:style>
  <w:style w:type="paragraph" w:customStyle="1" w:styleId="121">
    <w:name w:val="四级无"/>
    <w:basedOn w:val="58"/>
    <w:qFormat/>
    <w:uiPriority w:val="0"/>
    <w:pPr>
      <w:spacing w:before="0" w:beforeLines="0" w:after="0" w:afterLines="0"/>
    </w:pPr>
    <w:rPr>
      <w:rFonts w:ascii="宋体" w:eastAsia="宋体"/>
    </w:rPr>
  </w:style>
  <w:style w:type="paragraph" w:customStyle="1" w:styleId="122">
    <w:name w:val="条文脚注"/>
    <w:basedOn w:val="28"/>
    <w:qFormat/>
    <w:uiPriority w:val="0"/>
    <w:pPr>
      <w:numPr>
        <w:numId w:val="0"/>
      </w:numPr>
      <w:jc w:val="both"/>
    </w:pPr>
  </w:style>
  <w:style w:type="paragraph" w:customStyle="1" w:styleId="123">
    <w:name w:val="图标脚注说明"/>
    <w:basedOn w:val="27"/>
    <w:qFormat/>
    <w:uiPriority w:val="0"/>
    <w:pPr>
      <w:ind w:left="840" w:hanging="420" w:firstLineChars="0"/>
    </w:pPr>
    <w:rPr>
      <w:sz w:val="18"/>
      <w:szCs w:val="18"/>
    </w:rPr>
  </w:style>
  <w:style w:type="paragraph" w:customStyle="1" w:styleId="124">
    <w:name w:val="图表脚注说明"/>
    <w:basedOn w:val="1"/>
    <w:qFormat/>
    <w:uiPriority w:val="0"/>
    <w:pPr>
      <w:numPr>
        <w:ilvl w:val="0"/>
        <w:numId w:val="15"/>
      </w:numPr>
    </w:pPr>
    <w:rPr>
      <w:rFonts w:ascii="宋体"/>
      <w:sz w:val="18"/>
      <w:szCs w:val="18"/>
    </w:rPr>
  </w:style>
  <w:style w:type="paragraph" w:customStyle="1" w:styleId="125">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五级无"/>
    <w:basedOn w:val="59"/>
    <w:qFormat/>
    <w:uiPriority w:val="0"/>
    <w:pPr>
      <w:spacing w:before="0" w:beforeLines="0" w:after="0" w:afterLines="0"/>
    </w:pPr>
    <w:rPr>
      <w:rFonts w:ascii="宋体" w:eastAsia="宋体"/>
    </w:rPr>
  </w:style>
  <w:style w:type="paragraph" w:customStyle="1" w:styleId="128">
    <w:name w:val="一级无"/>
    <w:basedOn w:val="45"/>
    <w:qFormat/>
    <w:uiPriority w:val="0"/>
    <w:pPr>
      <w:spacing w:before="0" w:beforeLines="0" w:after="0" w:afterLines="0"/>
    </w:pPr>
    <w:rPr>
      <w:rFonts w:ascii="宋体" w:eastAsia="宋体"/>
    </w:rPr>
  </w:style>
  <w:style w:type="character" w:customStyle="1" w:styleId="129">
    <w:name w:val="已访问的超链接1"/>
    <w:basedOn w:val="38"/>
    <w:qFormat/>
    <w:uiPriority w:val="0"/>
    <w:rPr>
      <w:color w:val="800080"/>
      <w:u w:val="single"/>
    </w:rPr>
  </w:style>
  <w:style w:type="paragraph" w:customStyle="1" w:styleId="130">
    <w:name w:val="正文表标题"/>
    <w:next w:val="27"/>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正文公式编号制表符"/>
    <w:basedOn w:val="27"/>
    <w:next w:val="27"/>
    <w:qFormat/>
    <w:uiPriority w:val="0"/>
    <w:pPr>
      <w:ind w:firstLine="0" w:firstLineChars="0"/>
    </w:pPr>
  </w:style>
  <w:style w:type="paragraph" w:customStyle="1" w:styleId="132">
    <w:name w:val="正文图标题"/>
    <w:next w:val="2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发布日期"/>
    <w:basedOn w:val="78"/>
    <w:qFormat/>
    <w:uiPriority w:val="0"/>
    <w:pPr>
      <w:framePr w:wrap="around" w:vAnchor="page" w:hAnchor="text" w:x="1419"/>
    </w:pPr>
  </w:style>
  <w:style w:type="paragraph" w:customStyle="1" w:styleId="135">
    <w:name w:val="其他实施日期"/>
    <w:basedOn w:val="117"/>
    <w:qFormat/>
    <w:uiPriority w:val="0"/>
    <w:pPr>
      <w:framePr w:wrap="around"/>
    </w:pPr>
  </w:style>
  <w:style w:type="paragraph" w:customStyle="1" w:styleId="136">
    <w:name w:val="封面标准名称2"/>
    <w:basedOn w:val="81"/>
    <w:qFormat/>
    <w:uiPriority w:val="0"/>
    <w:pPr>
      <w:framePr w:wrap="around" w:y="4469"/>
      <w:spacing w:before="630" w:beforeLines="630"/>
    </w:pPr>
  </w:style>
  <w:style w:type="paragraph" w:customStyle="1" w:styleId="137">
    <w:name w:val="封面标准英文名称2"/>
    <w:basedOn w:val="82"/>
    <w:qFormat/>
    <w:uiPriority w:val="0"/>
    <w:pPr>
      <w:framePr w:wrap="around" w:y="4469"/>
    </w:pPr>
  </w:style>
  <w:style w:type="paragraph" w:customStyle="1" w:styleId="138">
    <w:name w:val="封面一致性程度标识2"/>
    <w:basedOn w:val="83"/>
    <w:qFormat/>
    <w:uiPriority w:val="0"/>
    <w:pPr>
      <w:framePr w:wrap="around" w:y="4469"/>
    </w:pPr>
  </w:style>
  <w:style w:type="paragraph" w:customStyle="1" w:styleId="139">
    <w:name w:val="封面标准文稿类别2"/>
    <w:basedOn w:val="84"/>
    <w:qFormat/>
    <w:uiPriority w:val="0"/>
    <w:pPr>
      <w:framePr w:wrap="around" w:y="4469"/>
    </w:pPr>
  </w:style>
  <w:style w:type="paragraph" w:customStyle="1" w:styleId="140">
    <w:name w:val="封面标准文稿编辑信息2"/>
    <w:basedOn w:val="85"/>
    <w:qFormat/>
    <w:uiPriority w:val="0"/>
    <w:pPr>
      <w:framePr w:wrap="around" w:y="4469"/>
    </w:pPr>
  </w:style>
  <w:style w:type="paragraph" w:customStyle="1" w:styleId="141">
    <w:name w:val="标准文件_段"/>
    <w:qFormat/>
    <w:uiPriority w:val="0"/>
    <w:pPr>
      <w:autoSpaceDE w:val="0"/>
      <w:autoSpaceDN w:val="0"/>
      <w:adjustRightInd w:val="0"/>
      <w:snapToGrid w:val="0"/>
      <w:spacing w:line="276" w:lineRule="auto"/>
      <w:ind w:right="-105" w:rightChars="-50"/>
      <w:jc w:val="both"/>
    </w:pPr>
    <w:rPr>
      <w:rFonts w:ascii="宋体" w:hAnsi="Times New Roman" w:eastAsia="宋体" w:cs="Times New Roman"/>
      <w:spacing w:val="2"/>
      <w:sz w:val="21"/>
      <w:lang w:val="en-US" w:eastAsia="zh-CN" w:bidi="ar-SA"/>
    </w:rPr>
  </w:style>
  <w:style w:type="character" w:customStyle="1" w:styleId="142">
    <w:name w:val="标题 1 字符"/>
    <w:basedOn w:val="38"/>
    <w:link w:val="2"/>
    <w:qFormat/>
    <w:uiPriority w:val="0"/>
    <w:rPr>
      <w:rFonts w:eastAsia="楷体_GB2312"/>
      <w:b/>
      <w:bCs/>
      <w:kern w:val="44"/>
      <w:sz w:val="36"/>
      <w:szCs w:val="36"/>
    </w:rPr>
  </w:style>
  <w:style w:type="paragraph" w:customStyle="1" w:styleId="143">
    <w:name w:val="TOC 标题1"/>
    <w:basedOn w:val="2"/>
    <w:next w:val="1"/>
    <w:unhideWhenUsed/>
    <w:qFormat/>
    <w:uiPriority w:val="39"/>
    <w:pPr>
      <w:widowControl/>
      <w:autoSpaceDN/>
      <w:adjustRightInd/>
      <w:snapToGrid/>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4">
    <w:name w:val="批注框文本 字符"/>
    <w:basedOn w:val="38"/>
    <w:link w:val="20"/>
    <w:semiHidden/>
    <w:qFormat/>
    <w:uiPriority w:val="0"/>
    <w:rPr>
      <w:rFonts w:ascii="宋体"/>
      <w:kern w:val="2"/>
      <w:sz w:val="18"/>
      <w:szCs w:val="18"/>
    </w:rPr>
  </w:style>
  <w:style w:type="character" w:customStyle="1" w:styleId="145">
    <w:name w:val="批注文字 字符"/>
    <w:basedOn w:val="38"/>
    <w:link w:val="12"/>
    <w:qFormat/>
    <w:uiPriority w:val="0"/>
    <w:rPr>
      <w:kern w:val="2"/>
      <w:sz w:val="21"/>
      <w:szCs w:val="24"/>
    </w:rPr>
  </w:style>
  <w:style w:type="paragraph" w:customStyle="1" w:styleId="146">
    <w:name w:val="文件正文"/>
    <w:basedOn w:val="1"/>
    <w:qFormat/>
    <w:uiPriority w:val="0"/>
    <w:pPr>
      <w:spacing w:line="480" w:lineRule="exact"/>
      <w:ind w:firstLine="560"/>
    </w:pPr>
    <w:rPr>
      <w:rFonts w:eastAsia="仿宋_GB2312" w:cs="宋体"/>
      <w:sz w:val="28"/>
      <w:szCs w:val="20"/>
    </w:rPr>
  </w:style>
  <w:style w:type="character" w:customStyle="1" w:styleId="147">
    <w:name w:val="标题 2 字符"/>
    <w:basedOn w:val="38"/>
    <w:link w:val="3"/>
    <w:semiHidden/>
    <w:qFormat/>
    <w:uiPriority w:val="0"/>
    <w:rPr>
      <w:rFonts w:asciiTheme="majorHAnsi" w:hAnsiTheme="majorHAnsi" w:eastAsiaTheme="majorEastAsia" w:cstheme="majorBidi"/>
      <w:b/>
      <w:bCs/>
      <w:kern w:val="2"/>
      <w:sz w:val="32"/>
      <w:szCs w:val="32"/>
    </w:rPr>
  </w:style>
  <w:style w:type="character" w:customStyle="1" w:styleId="148">
    <w:name w:val="标题 3 字符"/>
    <w:basedOn w:val="38"/>
    <w:link w:val="4"/>
    <w:semiHidden/>
    <w:qFormat/>
    <w:uiPriority w:val="0"/>
    <w:rPr>
      <w:b/>
      <w:bCs/>
      <w:kern w:val="2"/>
      <w:sz w:val="32"/>
      <w:szCs w:val="32"/>
    </w:rPr>
  </w:style>
  <w:style w:type="paragraph" w:customStyle="1" w:styleId="149">
    <w:name w:val="文件大标题"/>
    <w:next w:val="1"/>
    <w:qFormat/>
    <w:uiPriority w:val="0"/>
    <w:pPr>
      <w:spacing w:before="240" w:after="120" w:line="480" w:lineRule="exact"/>
      <w:jc w:val="center"/>
    </w:pPr>
    <w:rPr>
      <w:rFonts w:ascii="Times New Roman" w:hAnsi="Times New Roman" w:eastAsia="黑体" w:cs="Times New Roman"/>
      <w:kern w:val="2"/>
      <w:sz w:val="36"/>
      <w:szCs w:val="44"/>
      <w:lang w:val="en-US" w:eastAsia="zh-CN" w:bidi="ar-SA"/>
    </w:rPr>
  </w:style>
  <w:style w:type="character" w:customStyle="1" w:styleId="150">
    <w:name w:val="批注主题 字符"/>
    <w:basedOn w:val="145"/>
    <w:link w:val="35"/>
    <w:semiHidden/>
    <w:qFormat/>
    <w:uiPriority w:val="0"/>
    <w:rPr>
      <w:b/>
      <w:bCs/>
      <w:kern w:val="2"/>
      <w:sz w:val="21"/>
      <w:szCs w:val="24"/>
    </w:rPr>
  </w:style>
  <w:style w:type="paragraph" w:customStyle="1" w:styleId="151">
    <w:name w:val="正文文本1"/>
    <w:basedOn w:val="1"/>
    <w:link w:val="158"/>
    <w:qFormat/>
    <w:uiPriority w:val="0"/>
    <w:pPr>
      <w:widowControl/>
      <w:spacing w:line="500" w:lineRule="exact"/>
      <w:ind w:firstLine="200" w:firstLineChars="200"/>
    </w:pPr>
    <w:rPr>
      <w:rFonts w:eastAsia="仿宋"/>
      <w:kern w:val="0"/>
      <w:sz w:val="28"/>
      <w:szCs w:val="20"/>
    </w:rPr>
  </w:style>
  <w:style w:type="paragraph" w:customStyle="1" w:styleId="152">
    <w:name w:val="一级标题1"/>
    <w:basedOn w:val="2"/>
    <w:qFormat/>
    <w:uiPriority w:val="0"/>
    <w:pPr>
      <w:keepLines w:val="0"/>
      <w:widowControl/>
      <w:numPr>
        <w:ilvl w:val="0"/>
        <w:numId w:val="18"/>
      </w:numPr>
      <w:autoSpaceDE w:val="0"/>
      <w:spacing w:line="500" w:lineRule="exact"/>
      <w:ind w:left="0" w:firstLine="0"/>
      <w:textAlignment w:val="baseline"/>
    </w:pPr>
    <w:rPr>
      <w:b w:val="0"/>
      <w:sz w:val="30"/>
    </w:rPr>
  </w:style>
  <w:style w:type="paragraph" w:customStyle="1" w:styleId="153">
    <w:name w:val="二级标题"/>
    <w:basedOn w:val="154"/>
    <w:qFormat/>
    <w:uiPriority w:val="0"/>
    <w:pPr>
      <w:keepNext/>
      <w:widowControl/>
      <w:numPr>
        <w:ilvl w:val="1"/>
        <w:numId w:val="18"/>
      </w:numPr>
      <w:autoSpaceDE w:val="0"/>
      <w:autoSpaceDN w:val="0"/>
      <w:spacing w:before="0" w:beforeLines="0" w:after="0" w:afterLines="0" w:line="500" w:lineRule="exact"/>
      <w:ind w:left="0" w:firstLine="0"/>
      <w:jc w:val="left"/>
      <w:outlineLvl w:val="1"/>
    </w:pPr>
    <w:rPr>
      <w:b w:val="0"/>
      <w:sz w:val="28"/>
    </w:rPr>
  </w:style>
  <w:style w:type="paragraph" w:customStyle="1" w:styleId="154">
    <w:name w:val="标题2"/>
    <w:basedOn w:val="1"/>
    <w:qFormat/>
    <w:uiPriority w:val="0"/>
    <w:pPr>
      <w:spacing w:before="50" w:beforeLines="50" w:after="50" w:afterLines="50" w:line="300" w:lineRule="auto"/>
    </w:pPr>
    <w:rPr>
      <w:rFonts w:eastAsia="黑体"/>
      <w:b/>
      <w:sz w:val="24"/>
      <w:szCs w:val="20"/>
    </w:rPr>
  </w:style>
  <w:style w:type="paragraph" w:customStyle="1" w:styleId="155">
    <w:name w:val="三级标题"/>
    <w:basedOn w:val="156"/>
    <w:next w:val="151"/>
    <w:qFormat/>
    <w:uiPriority w:val="0"/>
    <w:pPr>
      <w:keepNext/>
      <w:keepLines/>
      <w:numPr>
        <w:ilvl w:val="2"/>
        <w:numId w:val="18"/>
      </w:numPr>
      <w:spacing w:before="0" w:beforeLines="0" w:after="0" w:afterLines="0" w:line="500" w:lineRule="exact"/>
      <w:ind w:left="0" w:firstLine="0"/>
      <w:jc w:val="left"/>
      <w:textAlignment w:val="baseline"/>
    </w:pPr>
    <w:rPr>
      <w:rFonts w:eastAsia="仿宋"/>
      <w:b w:val="0"/>
      <w:sz w:val="28"/>
    </w:rPr>
  </w:style>
  <w:style w:type="paragraph" w:customStyle="1" w:styleId="156">
    <w:name w:val="标题3"/>
    <w:basedOn w:val="1"/>
    <w:qFormat/>
    <w:uiPriority w:val="0"/>
    <w:pPr>
      <w:spacing w:before="156" w:beforeLines="50" w:after="156" w:afterLines="50" w:line="300" w:lineRule="auto"/>
      <w:outlineLvl w:val="2"/>
    </w:pPr>
    <w:rPr>
      <w:rFonts w:eastAsia="黑体"/>
      <w:b/>
      <w:sz w:val="24"/>
      <w:szCs w:val="20"/>
    </w:rPr>
  </w:style>
  <w:style w:type="paragraph" w:customStyle="1" w:styleId="157">
    <w:name w:val="四级标题"/>
    <w:basedOn w:val="156"/>
    <w:next w:val="151"/>
    <w:qFormat/>
    <w:uiPriority w:val="0"/>
    <w:pPr>
      <w:numPr>
        <w:ilvl w:val="3"/>
        <w:numId w:val="18"/>
      </w:numPr>
      <w:spacing w:before="50" w:after="50"/>
      <w:outlineLvl w:val="3"/>
    </w:pPr>
  </w:style>
  <w:style w:type="character" w:customStyle="1" w:styleId="158">
    <w:name w:val="正文文本1 字符"/>
    <w:basedOn w:val="38"/>
    <w:link w:val="151"/>
    <w:qFormat/>
    <w:uiPriority w:val="0"/>
    <w:rPr>
      <w:rFonts w:ascii="Times New Roman" w:hAnsi="Times New Roman" w:eastAsia="仿宋" w:cs="Times New Roman"/>
      <w:kern w:val="0"/>
      <w:sz w:val="28"/>
      <w:szCs w:val="20"/>
    </w:rPr>
  </w:style>
  <w:style w:type="paragraph" w:styleId="159">
    <w:name w:val="List Paragraph"/>
    <w:basedOn w:val="1"/>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9B4B72-316F-4901-9D5C-3FC9A01671E9}">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12</Pages>
  <Words>445</Words>
  <Characters>863</Characters>
  <Lines>54</Lines>
  <Paragraphs>15</Paragraphs>
  <TotalTime>3</TotalTime>
  <ScaleCrop>false</ScaleCrop>
  <LinksUpToDate>false</LinksUpToDate>
  <CharactersWithSpaces>1050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2026-02-11T00:01:00Z</dcterms:created>
  <dc:creator>CNIS</dc:creator>
  <cp:lastModifiedBy>La solitudine</cp:lastModifiedBy>
  <cp:lastPrinted>2026-02-10T23:40:00Z</cp:lastPrinted>
  <dcterms:modified xsi:type="dcterms:W3CDTF">2026-07-09T09:30:45Z</dcterms:modified>
  <dc:title>标准名称</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27C52E14D7DD42B8A03258C0189A57BE</vt:lpwstr>
  </property>
  <property fmtid="{D5CDD505-2E9C-101B-9397-08002B2CF9AE}" pid="4" name="KSOTemplateDocerSaveRecord">
    <vt:lpwstr>eyJoZGlkIjoiOGJjNWNjZjhhZmY1M2U4ZmMxNzZmNGNmMjQwNjFiNjIiLCJ1c2VySWQiOiI0NjE0NTI2MDMifQ==</vt:lpwstr>
  </property>
</Properties>
</file>